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562" w:lineRule="atLeast"/>
        <w:ind w:left="0" w:right="0"/>
        <w:jc w:val="center"/>
        <w:rPr>
          <w:b w:val="0"/>
          <w:sz w:val="31"/>
          <w:szCs w:val="31"/>
        </w:rPr>
      </w:pPr>
      <w:r>
        <w:rPr>
          <w:rStyle w:val="5"/>
          <w:rFonts w:hint="eastAsia" w:ascii="宋体" w:hAnsi="宋体" w:eastAsia="宋体" w:cs="宋体"/>
          <w:sz w:val="36"/>
          <w:szCs w:val="36"/>
        </w:rPr>
        <w:t>海南省国资委依法分类处理信访诉求清单</w:t>
      </w:r>
    </w:p>
    <w:p>
      <w:pPr>
        <w:pStyle w:val="2"/>
        <w:keepNext w:val="0"/>
        <w:keepLines w:val="0"/>
        <w:widowControl/>
        <w:suppressLineNumbers w:val="0"/>
        <w:spacing w:before="0" w:beforeAutospacing="1" w:after="0" w:afterAutospacing="0" w:line="562" w:lineRule="atLeast"/>
        <w:ind w:left="0" w:right="0"/>
        <w:jc w:val="center"/>
        <w:rPr>
          <w:b w:val="0"/>
          <w:sz w:val="31"/>
          <w:szCs w:val="31"/>
        </w:rPr>
      </w:pPr>
    </w:p>
    <w:p>
      <w:pPr>
        <w:pStyle w:val="2"/>
        <w:keepNext w:val="0"/>
        <w:keepLines w:val="0"/>
        <w:widowControl/>
        <w:suppressLineNumbers w:val="0"/>
        <w:spacing w:before="0" w:beforeAutospacing="1" w:after="0" w:afterAutospacing="0" w:line="562" w:lineRule="atLeast"/>
        <w:ind w:left="0" w:right="0"/>
        <w:rPr>
          <w:sz w:val="31"/>
          <w:szCs w:val="31"/>
        </w:rPr>
      </w:pPr>
      <w:r>
        <w:rPr>
          <w:rFonts w:hint="eastAsia" w:ascii="宋体" w:hAnsi="宋体" w:eastAsia="宋体" w:cs="宋体"/>
          <w:sz w:val="24"/>
          <w:szCs w:val="24"/>
        </w:rPr>
        <w:t>  依照法律法规和本单位机构“三定”方案规定，海南省国有资产监督管理委员会（以下简称省国资委）作为海南省人民政府（以下简称省政府）直属特设机构，根据省政府授权依法履行国有资产出资人职责，不具备社会公共管理职能和通过行政复议、行政处罚、行政执法等法定途径处理投诉请求的权利。为进一步厘清信访与诉讼、仲裁、行政复议等法定途径的受理范围，切实做好依法分类处理信访诉求工作，结合机构职能定位，现将省国资委各类诉求受理渠道明确如下：</w:t>
      </w:r>
    </w:p>
    <w:p>
      <w:pPr>
        <w:pStyle w:val="2"/>
        <w:keepNext w:val="0"/>
        <w:keepLines w:val="0"/>
        <w:widowControl/>
        <w:suppressLineNumbers w:val="0"/>
        <w:spacing w:before="0" w:beforeAutospacing="1" w:after="0" w:afterAutospacing="0" w:line="562" w:lineRule="atLeast"/>
        <w:ind w:left="0" w:right="0" w:firstLine="634"/>
        <w:rPr>
          <w:sz w:val="31"/>
          <w:szCs w:val="31"/>
        </w:rPr>
      </w:pPr>
      <w:r>
        <w:rPr>
          <w:rStyle w:val="5"/>
          <w:rFonts w:hint="eastAsia" w:ascii="宋体" w:hAnsi="宋体" w:eastAsia="宋体" w:cs="宋体"/>
          <w:sz w:val="24"/>
          <w:szCs w:val="24"/>
        </w:rPr>
        <w:t>一、属于省国资委职责范围的申诉求决类诉求</w:t>
      </w:r>
    </w:p>
    <w:p>
      <w:pPr>
        <w:pStyle w:val="2"/>
        <w:keepNext w:val="0"/>
        <w:keepLines w:val="0"/>
        <w:widowControl/>
        <w:suppressLineNumbers w:val="0"/>
        <w:spacing w:before="0" w:beforeAutospacing="1" w:after="0" w:afterAutospacing="0" w:line="562" w:lineRule="atLeast"/>
        <w:ind w:left="0" w:right="0" w:firstLine="634"/>
        <w:rPr>
          <w:sz w:val="31"/>
          <w:szCs w:val="31"/>
        </w:rPr>
      </w:pPr>
      <w:r>
        <w:rPr>
          <w:rFonts w:hint="eastAsia" w:ascii="宋体" w:hAnsi="宋体" w:eastAsia="宋体" w:cs="宋体"/>
          <w:sz w:val="24"/>
          <w:szCs w:val="24"/>
        </w:rPr>
        <w:t>（一）国有产权管理。</w:t>
      </w:r>
    </w:p>
    <w:p>
      <w:pPr>
        <w:pStyle w:val="2"/>
        <w:keepNext w:val="0"/>
        <w:keepLines w:val="0"/>
        <w:widowControl/>
        <w:suppressLineNumbers w:val="0"/>
        <w:spacing w:before="0" w:beforeAutospacing="1" w:after="0" w:afterAutospacing="0" w:line="562" w:lineRule="atLeast"/>
        <w:ind w:left="0" w:right="0" w:firstLine="634"/>
        <w:rPr>
          <w:sz w:val="31"/>
          <w:szCs w:val="31"/>
        </w:rPr>
      </w:pPr>
      <w:r>
        <w:rPr>
          <w:rFonts w:hint="eastAsia" w:ascii="宋体" w:hAnsi="宋体" w:eastAsia="宋体" w:cs="宋体"/>
          <w:sz w:val="24"/>
          <w:szCs w:val="24"/>
        </w:rPr>
        <w:t>1.诉求内容：反映所监管省属企业在产权登记、资产评估、产权转让、资产流转等过程中所涉及的省属企业之间的产权纠纷、违反有关规定造成国有资产流失等问题。</w:t>
      </w:r>
    </w:p>
    <w:p>
      <w:pPr>
        <w:pStyle w:val="2"/>
        <w:keepNext w:val="0"/>
        <w:keepLines w:val="0"/>
        <w:widowControl/>
        <w:suppressLineNumbers w:val="0"/>
        <w:spacing w:before="0" w:beforeAutospacing="1" w:after="0" w:afterAutospacing="0" w:line="562" w:lineRule="atLeast"/>
        <w:ind w:left="0" w:right="0" w:firstLine="634"/>
        <w:rPr>
          <w:sz w:val="31"/>
          <w:szCs w:val="31"/>
        </w:rPr>
      </w:pPr>
      <w:r>
        <w:rPr>
          <w:rFonts w:hint="eastAsia" w:ascii="宋体" w:hAnsi="宋体" w:eastAsia="宋体" w:cs="宋体"/>
          <w:sz w:val="24"/>
          <w:szCs w:val="24"/>
        </w:rPr>
        <w:t>2.法定途径：逐级向涉事企业上一级企业、省国资委反映，向仲裁机构申请仲裁，向人民法院提起诉讼。</w:t>
      </w:r>
    </w:p>
    <w:p>
      <w:pPr>
        <w:pStyle w:val="2"/>
        <w:keepNext w:val="0"/>
        <w:keepLines w:val="0"/>
        <w:widowControl/>
        <w:suppressLineNumbers w:val="0"/>
        <w:spacing w:before="0" w:beforeAutospacing="1" w:after="0" w:afterAutospacing="0" w:line="562" w:lineRule="atLeast"/>
        <w:ind w:left="0" w:right="0" w:firstLine="634"/>
        <w:rPr>
          <w:sz w:val="31"/>
          <w:szCs w:val="31"/>
        </w:rPr>
      </w:pPr>
      <w:r>
        <w:rPr>
          <w:rFonts w:hint="eastAsia" w:ascii="宋体" w:hAnsi="宋体" w:eastAsia="宋体" w:cs="宋体"/>
          <w:sz w:val="24"/>
          <w:szCs w:val="24"/>
        </w:rPr>
        <w:t>3．主要法律政策依据： 《中华人民共和国企业国有资产法》（国家主席令第5号）、《企业国有资产交易监督管理办法》（国务院国资委、财政部令第32号）、《企业国有资产评估管理暂行办法》（国务院国资委令第12号）、《中央企业境外国有产权管理暂行办法》（国务院国资委令第27号）、《国家出资企业产权登记管理暂行办法》（国务院国资委令第29号）、《中共中央、国务院关于深化国有企业改革的指导意见》（中发〔2015〕22号）、《上市公司国有股权监察管理办法》（国务院国资委令第36号）；《海南省企业国有产权交易监督管理办法》（海南省人民政府令第176号）、《企业国有产权无偿划转管理暂行办法》（国资发产权〔2015〕239号）《关于规范企业国有产权转让管理的通知》（琼府〔2007〕2号）、《海南省国有企业改革划拨土地使用权管理办法》（琼府〔2006〕70号）等。</w:t>
      </w:r>
    </w:p>
    <w:p>
      <w:pPr>
        <w:pStyle w:val="2"/>
        <w:keepNext w:val="0"/>
        <w:keepLines w:val="0"/>
        <w:widowControl/>
        <w:suppressLineNumbers w:val="0"/>
        <w:spacing w:before="0" w:beforeAutospacing="1" w:after="0" w:afterAutospacing="0" w:line="562" w:lineRule="atLeast"/>
        <w:ind w:left="0" w:right="0" w:firstLine="634"/>
        <w:rPr>
          <w:sz w:val="31"/>
          <w:szCs w:val="31"/>
        </w:rPr>
      </w:pPr>
      <w:r>
        <w:rPr>
          <w:rFonts w:hint="eastAsia" w:ascii="宋体" w:hAnsi="宋体" w:eastAsia="宋体" w:cs="宋体"/>
          <w:sz w:val="24"/>
          <w:szCs w:val="24"/>
        </w:rPr>
        <w:t>（二）国有企业改革改制。</w:t>
      </w:r>
    </w:p>
    <w:p>
      <w:pPr>
        <w:pStyle w:val="2"/>
        <w:keepNext w:val="0"/>
        <w:keepLines w:val="0"/>
        <w:widowControl/>
        <w:suppressLineNumbers w:val="0"/>
        <w:spacing w:before="0" w:beforeAutospacing="1" w:after="0" w:afterAutospacing="0" w:line="562" w:lineRule="atLeast"/>
        <w:ind w:left="0" w:right="0" w:firstLine="634"/>
        <w:rPr>
          <w:sz w:val="31"/>
          <w:szCs w:val="31"/>
        </w:rPr>
      </w:pPr>
      <w:r>
        <w:rPr>
          <w:rFonts w:hint="eastAsia" w:ascii="宋体" w:hAnsi="宋体" w:eastAsia="宋体" w:cs="宋体"/>
          <w:sz w:val="24"/>
          <w:szCs w:val="24"/>
        </w:rPr>
        <w:t>1.诉求内容：反映所监管省属企业在改制、上市、合并、分立、解散以及破产工作中违反有关规定造成国有资产流失、损害职工合法权益等问题。</w:t>
      </w:r>
    </w:p>
    <w:p>
      <w:pPr>
        <w:pStyle w:val="2"/>
        <w:keepNext w:val="0"/>
        <w:keepLines w:val="0"/>
        <w:widowControl/>
        <w:suppressLineNumbers w:val="0"/>
        <w:spacing w:before="0" w:beforeAutospacing="1" w:after="0" w:afterAutospacing="0" w:line="562" w:lineRule="atLeast"/>
        <w:ind w:left="0" w:right="0" w:firstLine="634"/>
        <w:rPr>
          <w:sz w:val="31"/>
          <w:szCs w:val="31"/>
        </w:rPr>
      </w:pPr>
      <w:r>
        <w:rPr>
          <w:rFonts w:hint="eastAsia" w:ascii="宋体" w:hAnsi="宋体" w:eastAsia="宋体" w:cs="宋体"/>
          <w:sz w:val="24"/>
          <w:szCs w:val="24"/>
        </w:rPr>
        <w:t>2.法定途径：逐级向涉事企业上一级企业、省国资委反映，向人民法院提起诉讼。</w:t>
      </w:r>
    </w:p>
    <w:p>
      <w:pPr>
        <w:pStyle w:val="2"/>
        <w:keepNext w:val="0"/>
        <w:keepLines w:val="0"/>
        <w:widowControl/>
        <w:suppressLineNumbers w:val="0"/>
        <w:spacing w:before="0" w:beforeAutospacing="1" w:after="0" w:afterAutospacing="0" w:line="562" w:lineRule="atLeast"/>
        <w:ind w:left="0" w:right="0"/>
        <w:jc w:val="left"/>
        <w:rPr>
          <w:sz w:val="31"/>
          <w:szCs w:val="31"/>
        </w:rPr>
      </w:pPr>
      <w:r>
        <w:rPr>
          <w:rFonts w:hint="eastAsia" w:ascii="宋体" w:hAnsi="宋体" w:eastAsia="宋体" w:cs="宋体"/>
          <w:sz w:val="24"/>
          <w:szCs w:val="24"/>
        </w:rPr>
        <w:t>   3.主要法律政策依据：《中华人民共和国企业国有资产法》（国家主席令第5号）、《企业国有资产监督管理暂行条例》（国务院令第378号）、《国务院办公厅转发国资委关于规范国有企业改制工作的意见的通知》（国办发〔2003〕96号）、《国务院办公厅转发国资委关于进一步规范国有企业改制工作实施意见的通知》（国办发〔2005〕60号）、《国务院办公厅转发国资委关于推进国有资本调整和国有企业重组指导意见的通知》（国办发〔2O06〕97号）、《国务院关于促进企业兼并重组的意见》（国发〔2010〕27号）、《中共中央、国务院关于深化国有企业改革的指导意见》（中发〔2015〕22号）、《中华人民共和国公司法》（2013年修正）；《省属国有企业改制工作规程》（琼国资〔2004〕89号）、《省属国有企业关闭破产工作规程》（琼国资〔2004〕90号）、《海南省人民政府办公厅关于省属国有企业推进混合所有制改革有关事项的通知》（琼府办〔2017〕23号）、《关于深化全省国有企业改革的实施意见》（琼发〔2017〕14号）等。</w:t>
      </w:r>
    </w:p>
    <w:p>
      <w:pPr>
        <w:pStyle w:val="2"/>
        <w:keepNext w:val="0"/>
        <w:keepLines w:val="0"/>
        <w:widowControl/>
        <w:suppressLineNumbers w:val="0"/>
        <w:spacing w:before="0" w:beforeAutospacing="1" w:after="0" w:afterAutospacing="0" w:line="562" w:lineRule="atLeast"/>
        <w:ind w:left="0" w:right="0" w:firstLine="634"/>
        <w:rPr>
          <w:sz w:val="31"/>
          <w:szCs w:val="31"/>
        </w:rPr>
      </w:pPr>
      <w:r>
        <w:rPr>
          <w:rStyle w:val="5"/>
          <w:rFonts w:hint="eastAsia" w:ascii="宋体" w:hAnsi="宋体" w:eastAsia="宋体" w:cs="宋体"/>
          <w:sz w:val="24"/>
          <w:szCs w:val="24"/>
        </w:rPr>
        <w:t>二、揭发控告类诉求</w:t>
      </w:r>
    </w:p>
    <w:p>
      <w:pPr>
        <w:pStyle w:val="2"/>
        <w:keepNext w:val="0"/>
        <w:keepLines w:val="0"/>
        <w:widowControl/>
        <w:suppressLineNumbers w:val="0"/>
        <w:spacing w:before="0" w:beforeAutospacing="1" w:after="0" w:afterAutospacing="0" w:line="562" w:lineRule="atLeast"/>
        <w:ind w:left="0" w:right="0" w:firstLine="634"/>
        <w:rPr>
          <w:sz w:val="31"/>
          <w:szCs w:val="31"/>
        </w:rPr>
      </w:pPr>
      <w:r>
        <w:rPr>
          <w:rFonts w:hint="eastAsia" w:ascii="宋体" w:hAnsi="宋体" w:eastAsia="宋体" w:cs="宋体"/>
          <w:sz w:val="24"/>
          <w:szCs w:val="24"/>
        </w:rPr>
        <w:t>（一）检举控告省国资委工作人员违规违纪问题。</w:t>
      </w:r>
    </w:p>
    <w:p>
      <w:pPr>
        <w:pStyle w:val="2"/>
        <w:keepNext w:val="0"/>
        <w:keepLines w:val="0"/>
        <w:widowControl/>
        <w:suppressLineNumbers w:val="0"/>
        <w:spacing w:before="0" w:beforeAutospacing="1" w:after="0" w:afterAutospacing="0" w:line="562" w:lineRule="atLeast"/>
        <w:ind w:left="0" w:right="0" w:firstLine="619"/>
        <w:rPr>
          <w:spacing w:val="-6"/>
          <w:sz w:val="31"/>
          <w:szCs w:val="31"/>
        </w:rPr>
      </w:pPr>
      <w:r>
        <w:rPr>
          <w:rFonts w:hint="eastAsia" w:ascii="宋体" w:hAnsi="宋体" w:eastAsia="宋体" w:cs="宋体"/>
          <w:spacing w:val="-6"/>
          <w:sz w:val="24"/>
          <w:szCs w:val="24"/>
        </w:rPr>
        <w:t>1.诉求内容：反映省国资委机关党员干部违规违纪有关问题。</w:t>
      </w:r>
    </w:p>
    <w:p>
      <w:pPr>
        <w:pStyle w:val="2"/>
        <w:keepNext w:val="0"/>
        <w:keepLines w:val="0"/>
        <w:widowControl/>
        <w:suppressLineNumbers w:val="0"/>
        <w:spacing w:before="0" w:beforeAutospacing="1" w:after="0" w:afterAutospacing="0" w:line="562" w:lineRule="atLeast"/>
        <w:ind w:left="0" w:right="0" w:firstLine="634"/>
        <w:rPr>
          <w:sz w:val="31"/>
          <w:szCs w:val="31"/>
        </w:rPr>
      </w:pPr>
      <w:r>
        <w:rPr>
          <w:rFonts w:hint="eastAsia" w:ascii="宋体" w:hAnsi="宋体" w:eastAsia="宋体" w:cs="宋体"/>
          <w:sz w:val="24"/>
          <w:szCs w:val="24"/>
        </w:rPr>
        <w:t>2.法定途径：向纪检监察机关举报。</w:t>
      </w:r>
    </w:p>
    <w:p>
      <w:pPr>
        <w:pStyle w:val="2"/>
        <w:keepNext w:val="0"/>
        <w:keepLines w:val="0"/>
        <w:widowControl/>
        <w:suppressLineNumbers w:val="0"/>
        <w:spacing w:before="0" w:beforeAutospacing="1" w:after="0" w:afterAutospacing="0" w:line="562" w:lineRule="atLeast"/>
        <w:ind w:left="0" w:right="0" w:firstLine="634"/>
        <w:rPr>
          <w:sz w:val="31"/>
          <w:szCs w:val="31"/>
        </w:rPr>
      </w:pPr>
      <w:r>
        <w:rPr>
          <w:rFonts w:hint="eastAsia" w:ascii="宋体" w:hAnsi="宋体" w:eastAsia="宋体" w:cs="宋体"/>
          <w:sz w:val="24"/>
          <w:szCs w:val="24"/>
        </w:rPr>
        <w:t>3.主要法律政策依据：《行政监察法》(国家主席令第31号)、《中国共产党纪律处分条例》（中发〔2015〕31号）、《中国共产党纪律检查机关控告申诉工作条例》（中纪发〔1993〕8号）、《党政领导干部选拔任用工作条例》（中发〔2014〕3号）、《</w:t>
      </w:r>
      <w:r>
        <w:rPr>
          <w:rStyle w:val="6"/>
          <w:rFonts w:hint="eastAsia" w:ascii="宋体" w:hAnsi="宋体" w:eastAsia="宋体" w:cs="宋体"/>
          <w:i w:val="0"/>
          <w:sz w:val="24"/>
          <w:szCs w:val="24"/>
          <w:shd w:val="clear" w:fill="FFFFFF"/>
        </w:rPr>
        <w:t>中华人民共和国公职人员政务处分法</w:t>
      </w:r>
      <w:r>
        <w:rPr>
          <w:rFonts w:hint="eastAsia" w:ascii="宋体" w:hAnsi="宋体" w:eastAsia="宋体" w:cs="宋体"/>
          <w:sz w:val="24"/>
          <w:szCs w:val="24"/>
        </w:rPr>
        <w:t>》</w:t>
      </w:r>
      <w:r>
        <w:rPr>
          <w:rFonts w:hint="eastAsia" w:ascii="宋体" w:hAnsi="宋体" w:eastAsia="宋体" w:cs="宋体"/>
          <w:sz w:val="24"/>
          <w:szCs w:val="24"/>
          <w:shd w:val="clear" w:fill="FFFFFF"/>
        </w:rPr>
        <w:t> (2020</w:t>
      </w:r>
      <w:r>
        <w:rPr>
          <w:rFonts w:hint="eastAsia" w:ascii="宋体" w:hAnsi="宋体" w:eastAsia="宋体" w:cs="宋体"/>
          <w:sz w:val="24"/>
          <w:szCs w:val="24"/>
        </w:rPr>
        <w:t>年6月20日第十三届全国</w:t>
      </w:r>
      <w:r>
        <w:rPr>
          <w:rStyle w:val="6"/>
          <w:rFonts w:hint="eastAsia" w:ascii="宋体" w:hAnsi="宋体" w:eastAsia="宋体" w:cs="宋体"/>
          <w:i w:val="0"/>
          <w:sz w:val="24"/>
          <w:szCs w:val="24"/>
          <w:shd w:val="clear" w:fill="FFFFFF"/>
        </w:rPr>
        <w:t>人民</w:t>
      </w:r>
      <w:r>
        <w:rPr>
          <w:rFonts w:hint="eastAsia" w:ascii="宋体" w:hAnsi="宋体" w:eastAsia="宋体" w:cs="宋体"/>
          <w:sz w:val="24"/>
          <w:szCs w:val="24"/>
          <w:shd w:val="clear" w:fill="FFFFFF"/>
        </w:rPr>
        <w:t>代表大会常务委员会第十九次会议通过)</w:t>
      </w:r>
      <w:r>
        <w:rPr>
          <w:rFonts w:hint="eastAsia" w:ascii="宋体" w:hAnsi="宋体" w:eastAsia="宋体" w:cs="宋体"/>
          <w:sz w:val="24"/>
          <w:szCs w:val="24"/>
        </w:rPr>
        <w:t>等；省委、省政府及省委办公厅、省政府办公厅，省纪委、省监察局，省国资委党委、机关纪委及派驻纪检组相关法规政策文件。</w:t>
      </w:r>
    </w:p>
    <w:p>
      <w:pPr>
        <w:pStyle w:val="2"/>
        <w:keepNext w:val="0"/>
        <w:keepLines w:val="0"/>
        <w:widowControl/>
        <w:suppressLineNumbers w:val="0"/>
        <w:spacing w:before="0" w:beforeAutospacing="1" w:after="0" w:afterAutospacing="0" w:line="562" w:lineRule="atLeast"/>
        <w:ind w:left="0" w:right="0" w:firstLine="634"/>
        <w:rPr>
          <w:sz w:val="31"/>
          <w:szCs w:val="31"/>
        </w:rPr>
      </w:pPr>
      <w:r>
        <w:rPr>
          <w:rFonts w:hint="eastAsia" w:ascii="宋体" w:hAnsi="宋体" w:eastAsia="宋体" w:cs="宋体"/>
          <w:sz w:val="24"/>
          <w:szCs w:val="24"/>
        </w:rPr>
        <w:t>（二）检举控告所监管省属企业领导人员违规违纪违法、失职渎职、经济腐败、造成国有资产流失等问题。</w:t>
      </w:r>
    </w:p>
    <w:p>
      <w:pPr>
        <w:pStyle w:val="2"/>
        <w:keepNext w:val="0"/>
        <w:keepLines w:val="0"/>
        <w:widowControl/>
        <w:suppressLineNumbers w:val="0"/>
        <w:spacing w:before="0" w:beforeAutospacing="1" w:after="0" w:afterAutospacing="0" w:line="562" w:lineRule="atLeast"/>
        <w:ind w:left="0" w:right="0" w:firstLine="634"/>
        <w:rPr>
          <w:sz w:val="31"/>
          <w:szCs w:val="31"/>
        </w:rPr>
      </w:pPr>
      <w:r>
        <w:rPr>
          <w:rFonts w:hint="eastAsia" w:ascii="宋体" w:hAnsi="宋体" w:eastAsia="宋体" w:cs="宋体"/>
          <w:sz w:val="24"/>
          <w:szCs w:val="24"/>
        </w:rPr>
        <w:t>1.</w:t>
      </w:r>
      <w:r>
        <w:rPr>
          <w:rFonts w:hint="eastAsia" w:ascii="宋体" w:hAnsi="宋体" w:eastAsia="宋体" w:cs="宋体"/>
          <w:spacing w:val="-6"/>
          <w:sz w:val="24"/>
          <w:szCs w:val="24"/>
        </w:rPr>
        <w:t>诉求</w:t>
      </w:r>
      <w:r>
        <w:rPr>
          <w:rFonts w:hint="eastAsia" w:ascii="宋体" w:hAnsi="宋体" w:eastAsia="宋体" w:cs="宋体"/>
          <w:sz w:val="24"/>
          <w:szCs w:val="24"/>
        </w:rPr>
        <w:t>内容：反映所监管省属企业领导人员违反中央八项规定精神；买官卖官、任人唯亲，违规提拔干部；滥用职权，插手工程建设项目、为亲属及关系户搞利益输送；失职渎职、行贿受贿、徇私舞弊，违反国有资产管理相关规定，造成国有资产流失等问题。</w:t>
      </w:r>
    </w:p>
    <w:p>
      <w:pPr>
        <w:pStyle w:val="2"/>
        <w:keepNext w:val="0"/>
        <w:keepLines w:val="0"/>
        <w:widowControl/>
        <w:suppressLineNumbers w:val="0"/>
        <w:spacing w:before="0" w:beforeAutospacing="1" w:after="0" w:afterAutospacing="0" w:line="562" w:lineRule="atLeast"/>
        <w:ind w:left="0" w:right="0" w:firstLine="634"/>
        <w:rPr>
          <w:sz w:val="31"/>
          <w:szCs w:val="31"/>
        </w:rPr>
      </w:pPr>
      <w:r>
        <w:rPr>
          <w:rFonts w:hint="eastAsia" w:ascii="宋体" w:hAnsi="宋体" w:eastAsia="宋体" w:cs="宋体"/>
          <w:sz w:val="24"/>
          <w:szCs w:val="24"/>
        </w:rPr>
        <w:t>2.法定途径：向纪检监察机关举报，向人民检察院举报。</w:t>
      </w:r>
    </w:p>
    <w:p>
      <w:pPr>
        <w:pStyle w:val="2"/>
        <w:keepNext w:val="0"/>
        <w:keepLines w:val="0"/>
        <w:widowControl/>
        <w:suppressLineNumbers w:val="0"/>
        <w:spacing w:before="0" w:beforeAutospacing="1" w:after="0" w:afterAutospacing="0" w:line="562" w:lineRule="atLeast"/>
        <w:ind w:left="0" w:right="0" w:firstLine="634"/>
        <w:rPr>
          <w:sz w:val="31"/>
          <w:szCs w:val="31"/>
        </w:rPr>
      </w:pPr>
      <w:r>
        <w:rPr>
          <w:rFonts w:hint="eastAsia" w:ascii="宋体" w:hAnsi="宋体" w:eastAsia="宋体" w:cs="宋体"/>
          <w:sz w:val="24"/>
          <w:szCs w:val="24"/>
        </w:rPr>
        <w:t>3.主要法律政策依据：《中华人民共和国企业国有资产法》（国家主席令第5号）、《行政监察法》（国家主席令第31号）、《中华人民共和国民事诉讼法》（国家主席令第59号）、《中国共产党纪律处分条例》（中发〔2015〕31号）、《中国共产党纪律检查机关控告申诉工作条例》（中纪发〔1993〕8号）、《党政领导干部选拔任用工作条例》（中发〔2014〕3号）、《国有企业领导人员廉洁从业若干规定》（中纪发〔2004〕25号）、《中共中央、国务院关于深化国有企业改革的指导意见》（中发〔2015〕22号）等；省委、省政府及省委办公厅、省政府办公厅，省纪委、省监察局，省国资委党委、机关纪委及派驻纪检组相关法规政策文件。</w:t>
      </w:r>
    </w:p>
    <w:p>
      <w:pPr>
        <w:pStyle w:val="2"/>
        <w:keepNext w:val="0"/>
        <w:keepLines w:val="0"/>
        <w:widowControl/>
        <w:suppressLineNumbers w:val="0"/>
        <w:spacing w:before="0" w:beforeAutospacing="1" w:after="0" w:afterAutospacing="0" w:line="562" w:lineRule="atLeast"/>
        <w:ind w:left="0" w:right="0" w:firstLine="634"/>
        <w:rPr>
          <w:sz w:val="31"/>
          <w:szCs w:val="31"/>
        </w:rPr>
      </w:pPr>
      <w:r>
        <w:rPr>
          <w:rStyle w:val="5"/>
          <w:rFonts w:hint="eastAsia" w:ascii="宋体" w:hAnsi="宋体" w:eastAsia="宋体" w:cs="宋体"/>
          <w:sz w:val="24"/>
          <w:szCs w:val="24"/>
        </w:rPr>
        <w:t>三、信息公开类诉求</w:t>
      </w:r>
    </w:p>
    <w:p>
      <w:pPr>
        <w:pStyle w:val="2"/>
        <w:keepNext w:val="0"/>
        <w:keepLines w:val="0"/>
        <w:widowControl/>
        <w:suppressLineNumbers w:val="0"/>
        <w:spacing w:before="0" w:beforeAutospacing="1" w:after="0" w:afterAutospacing="0" w:line="562" w:lineRule="atLeast"/>
        <w:ind w:left="0" w:right="0" w:firstLine="634"/>
        <w:rPr>
          <w:sz w:val="31"/>
          <w:szCs w:val="31"/>
        </w:rPr>
      </w:pPr>
      <w:r>
        <w:rPr>
          <w:rFonts w:hint="eastAsia" w:ascii="宋体" w:hAnsi="宋体" w:eastAsia="宋体" w:cs="宋体"/>
          <w:sz w:val="24"/>
          <w:szCs w:val="24"/>
        </w:rPr>
        <w:t>1.诉求内容：公民、法人或其他组织申请省国资委公开在履行出资人职责过程中制定或获取的，以一定形式记录、保存的国资监管信息。</w:t>
      </w:r>
    </w:p>
    <w:p>
      <w:pPr>
        <w:pStyle w:val="2"/>
        <w:keepNext w:val="0"/>
        <w:keepLines w:val="0"/>
        <w:widowControl/>
        <w:suppressLineNumbers w:val="0"/>
        <w:spacing w:before="0" w:beforeAutospacing="1" w:after="0" w:afterAutospacing="0" w:line="562" w:lineRule="atLeast"/>
        <w:ind w:left="0" w:right="0" w:firstLine="634"/>
        <w:rPr>
          <w:sz w:val="31"/>
          <w:szCs w:val="31"/>
        </w:rPr>
      </w:pPr>
      <w:r>
        <w:rPr>
          <w:rFonts w:hint="eastAsia" w:ascii="宋体" w:hAnsi="宋体" w:eastAsia="宋体" w:cs="宋体"/>
          <w:sz w:val="24"/>
          <w:szCs w:val="24"/>
        </w:rPr>
        <w:t>2.法定途径：申请信息公开；向人民法院提起诉讼。</w:t>
      </w:r>
    </w:p>
    <w:p>
      <w:pPr>
        <w:pStyle w:val="2"/>
        <w:keepNext w:val="0"/>
        <w:keepLines w:val="0"/>
        <w:widowControl/>
        <w:suppressLineNumbers w:val="0"/>
        <w:spacing w:before="0" w:beforeAutospacing="1" w:after="0" w:afterAutospacing="0" w:line="562" w:lineRule="atLeast"/>
        <w:ind w:left="0" w:right="0" w:firstLine="634"/>
        <w:rPr>
          <w:sz w:val="31"/>
          <w:szCs w:val="31"/>
        </w:rPr>
      </w:pPr>
      <w:r>
        <w:rPr>
          <w:rFonts w:hint="eastAsia" w:ascii="宋体" w:hAnsi="宋体" w:eastAsia="宋体" w:cs="宋体"/>
          <w:sz w:val="24"/>
          <w:szCs w:val="24"/>
        </w:rPr>
        <w:t>3.主要法律依据：《中华人民共和国政府信息公开条例》（国务院令第492号）、《国务院国有资产监督管理委员会国有资产监督管理信息公开实施办法》（国资发〔2009〕18号）；《海南省国资委国有资产监督管理信息公开实施办法(修订)》（琼国资办〔2016〕118号）等。</w:t>
      </w:r>
    </w:p>
    <w:p>
      <w:pPr>
        <w:pStyle w:val="2"/>
        <w:keepNext w:val="0"/>
        <w:keepLines w:val="0"/>
        <w:widowControl/>
        <w:suppressLineNumbers w:val="0"/>
        <w:spacing w:before="0" w:beforeAutospacing="1" w:after="0" w:afterAutospacing="0" w:line="562" w:lineRule="atLeast"/>
        <w:ind w:left="0" w:right="0" w:firstLine="634"/>
        <w:rPr>
          <w:sz w:val="31"/>
          <w:szCs w:val="31"/>
        </w:rPr>
      </w:pPr>
      <w:r>
        <w:rPr>
          <w:rStyle w:val="5"/>
          <w:rFonts w:hint="eastAsia" w:ascii="宋体" w:hAnsi="宋体" w:eastAsia="宋体" w:cs="宋体"/>
          <w:sz w:val="24"/>
          <w:szCs w:val="24"/>
        </w:rPr>
        <w:t>四、不属于省国资委职责范围的诉求</w:t>
      </w:r>
    </w:p>
    <w:p>
      <w:pPr>
        <w:pStyle w:val="2"/>
        <w:keepNext w:val="0"/>
        <w:keepLines w:val="0"/>
        <w:widowControl/>
        <w:suppressLineNumbers w:val="0"/>
        <w:spacing w:before="0" w:beforeAutospacing="1" w:after="0" w:afterAutospacing="0" w:line="562" w:lineRule="atLeast"/>
        <w:ind w:left="0" w:right="0" w:firstLine="634"/>
        <w:rPr>
          <w:sz w:val="31"/>
          <w:szCs w:val="31"/>
        </w:rPr>
      </w:pPr>
      <w:r>
        <w:rPr>
          <w:rFonts w:hint="eastAsia" w:ascii="宋体" w:hAnsi="宋体" w:eastAsia="宋体" w:cs="宋体"/>
          <w:sz w:val="24"/>
          <w:szCs w:val="24"/>
        </w:rPr>
        <w:t>1.诉求内容：反映劳动人事关系、劳动保障、经济纠纷、医疗纠纷、环境保护、征地拆迁、民政事务等涉及政府公共管理职能、涉法涉诉、行政复议的问题。</w:t>
      </w:r>
    </w:p>
    <w:p>
      <w:pPr>
        <w:pStyle w:val="2"/>
        <w:keepNext w:val="0"/>
        <w:keepLines w:val="0"/>
        <w:widowControl/>
        <w:suppressLineNumbers w:val="0"/>
        <w:spacing w:before="0" w:beforeAutospacing="1" w:after="0" w:afterAutospacing="0" w:line="562" w:lineRule="atLeast"/>
        <w:ind w:left="0" w:right="0" w:firstLine="634"/>
        <w:rPr>
          <w:sz w:val="31"/>
          <w:szCs w:val="31"/>
        </w:rPr>
      </w:pPr>
      <w:r>
        <w:rPr>
          <w:rFonts w:hint="eastAsia" w:ascii="宋体" w:hAnsi="宋体" w:eastAsia="宋体" w:cs="宋体"/>
          <w:sz w:val="24"/>
          <w:szCs w:val="24"/>
        </w:rPr>
        <w:t>2.法定途径：按照人力资源部门、社会保障部门、卫生和计生部门、环境保护部门、住房和城乡建设部门、民政部门、公安部门等发布的各部门依法分类处理信访诉求清单有关规定处理；依法依规向相关行政执法机关反映，向仲裁机构申请仲裁或向人民法院提起诉讼。</w:t>
      </w:r>
    </w:p>
    <w:p>
      <w:pPr>
        <w:pStyle w:val="2"/>
        <w:keepNext w:val="0"/>
        <w:keepLines w:val="0"/>
        <w:widowControl/>
        <w:suppressLineNumbers w:val="0"/>
        <w:spacing w:before="0" w:beforeAutospacing="1" w:after="0" w:afterAutospacing="0" w:line="562" w:lineRule="atLeast"/>
        <w:ind w:left="0" w:right="0" w:firstLine="634"/>
        <w:rPr>
          <w:sz w:val="31"/>
          <w:szCs w:val="31"/>
        </w:rPr>
      </w:pPr>
      <w:r>
        <w:rPr>
          <w:rFonts w:hint="eastAsia" w:ascii="宋体" w:hAnsi="宋体" w:eastAsia="宋体" w:cs="宋体"/>
          <w:sz w:val="24"/>
          <w:szCs w:val="24"/>
        </w:rPr>
        <w:t>3.主要法律依据：国家以及我省涉及有关政府公共管理职能部门的相关法律法规、政策文件，《信访条例》等。</w:t>
      </w:r>
    </w:p>
    <w:p>
      <w:pPr>
        <w:pStyle w:val="2"/>
        <w:keepNext w:val="0"/>
        <w:keepLines w:val="0"/>
        <w:widowControl/>
        <w:suppressLineNumbers w:val="0"/>
        <w:spacing w:line="315" w:lineRule="atLeast"/>
        <w:jc w:val="center"/>
      </w:pPr>
      <w:r>
        <w:drawing>
          <wp:inline distT="0" distB="0" distL="114300" distR="114300">
            <wp:extent cx="5997575" cy="3427730"/>
            <wp:effectExtent l="0" t="0" r="3175" b="127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5997575" cy="3427730"/>
                    </a:xfrm>
                    <a:prstGeom prst="rect">
                      <a:avLst/>
                    </a:prstGeom>
                    <a:noFill/>
                    <a:ln w="9525">
                      <a:noFill/>
                    </a:ln>
                  </pic:spPr>
                </pic:pic>
              </a:graphicData>
            </a:graphic>
          </wp:inline>
        </w:drawing>
      </w:r>
      <w:bookmarkStart w:id="0" w:name="_GoBack"/>
      <w:bookmarkEnd w:id="0"/>
    </w:p>
    <w:p>
      <w:pPr>
        <w:pStyle w:val="2"/>
        <w:keepNext w:val="0"/>
        <w:keepLines w:val="0"/>
        <w:widowControl/>
        <w:suppressLineNumbers w:val="0"/>
        <w:spacing w:line="315" w:lineRule="atLeast"/>
        <w:jc w:val="center"/>
      </w:pPr>
      <w:r>
        <w:drawing>
          <wp:inline distT="0" distB="0" distL="114300" distR="114300">
            <wp:extent cx="6216015" cy="3324860"/>
            <wp:effectExtent l="0" t="0" r="13335" b="8890"/>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5"/>
                    <a:stretch>
                      <a:fillRect/>
                    </a:stretch>
                  </pic:blipFill>
                  <pic:spPr>
                    <a:xfrm>
                      <a:off x="0" y="0"/>
                      <a:ext cx="6216015" cy="3324860"/>
                    </a:xfrm>
                    <a:prstGeom prst="rect">
                      <a:avLst/>
                    </a:prstGeom>
                    <a:noFill/>
                    <a:ln w="9525">
                      <a:noFill/>
                    </a:ln>
                  </pic:spPr>
                </pic:pic>
              </a:graphicData>
            </a:graphic>
          </wp:inline>
        </w:drawing>
      </w:r>
    </w:p>
    <w:p>
      <w:pPr>
        <w:pStyle w:val="2"/>
        <w:keepNext w:val="0"/>
        <w:keepLines w:val="0"/>
        <w:widowControl/>
        <w:suppressLineNumbers w:val="0"/>
        <w:spacing w:line="315" w:lineRule="atLeast"/>
        <w:jc w:val="center"/>
      </w:pPr>
      <w:r>
        <w:drawing>
          <wp:inline distT="0" distB="0" distL="114300" distR="114300">
            <wp:extent cx="5706745" cy="2729865"/>
            <wp:effectExtent l="0" t="0" r="8255" b="13335"/>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6"/>
                    <a:stretch>
                      <a:fillRect/>
                    </a:stretch>
                  </pic:blipFill>
                  <pic:spPr>
                    <a:xfrm>
                      <a:off x="0" y="0"/>
                      <a:ext cx="5706745" cy="2729865"/>
                    </a:xfrm>
                    <a:prstGeom prst="rect">
                      <a:avLst/>
                    </a:prstGeom>
                    <a:noFill/>
                    <a:ln w="9525">
                      <a:noFill/>
                    </a:ln>
                  </pic:spPr>
                </pic:pic>
              </a:graphicData>
            </a:graphic>
          </wp:inline>
        </w:drawing>
      </w:r>
    </w:p>
    <w:p>
      <w:pPr>
        <w:pStyle w:val="2"/>
        <w:keepNext w:val="0"/>
        <w:keepLines w:val="0"/>
        <w:widowControl/>
        <w:suppressLineNumbers w:val="0"/>
        <w:spacing w:line="315" w:lineRule="atLeast"/>
        <w:jc w:val="center"/>
      </w:pPr>
      <w:r>
        <w:drawing>
          <wp:inline distT="0" distB="0" distL="114300" distR="114300">
            <wp:extent cx="5286375" cy="2706370"/>
            <wp:effectExtent l="0" t="0" r="9525" b="1778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7"/>
                    <a:stretch>
                      <a:fillRect/>
                    </a:stretch>
                  </pic:blipFill>
                  <pic:spPr>
                    <a:xfrm>
                      <a:off x="0" y="0"/>
                      <a:ext cx="5286375" cy="2706370"/>
                    </a:xfrm>
                    <a:prstGeom prst="rect">
                      <a:avLst/>
                    </a:prstGeom>
                    <a:noFill/>
                    <a:ln w="9525">
                      <a:noFill/>
                    </a:ln>
                  </pic:spPr>
                </pic:pic>
              </a:graphicData>
            </a:graphic>
          </wp:inline>
        </w:drawing>
      </w:r>
    </w:p>
    <w:p>
      <w:pPr>
        <w:pStyle w:val="2"/>
        <w:keepNext w:val="0"/>
        <w:keepLines w:val="0"/>
        <w:widowControl/>
        <w:suppressLineNumbers w:val="0"/>
        <w:spacing w:line="315" w:lineRule="atLeast"/>
        <w:jc w:val="center"/>
      </w:pPr>
    </w:p>
    <w:p>
      <w:pPr>
        <w:pStyle w:val="2"/>
        <w:keepNext w:val="0"/>
        <w:keepLines w:val="0"/>
        <w:widowControl/>
        <w:suppressLineNumbers w:val="0"/>
        <w:spacing w:line="315" w:lineRule="atLeast"/>
        <w:jc w:val="center"/>
      </w:pPr>
    </w:p>
    <w:p>
      <w:r>
        <w:drawing>
          <wp:inline distT="0" distB="0" distL="114300" distR="114300">
            <wp:extent cx="5169535" cy="2738755"/>
            <wp:effectExtent l="0" t="0" r="12065" b="4445"/>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8"/>
                    <a:stretch>
                      <a:fillRect/>
                    </a:stretch>
                  </pic:blipFill>
                  <pic:spPr>
                    <a:xfrm>
                      <a:off x="0" y="0"/>
                      <a:ext cx="5169535" cy="2738755"/>
                    </a:xfrm>
                    <a:prstGeom prst="rect">
                      <a:avLst/>
                    </a:prstGeom>
                    <a:noFill/>
                    <a:ln w="9525">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Euphorigenic"/>
    <w:panose1 w:val="00000000000000000000"/>
    <w:charset w:val="00"/>
    <w:family w:val="auto"/>
    <w:pitch w:val="default"/>
    <w:sig w:usb0="00000000" w:usb1="00000000" w:usb2="00000000" w:usb3="00000000" w:csb0="00000000" w:csb1="00000000"/>
  </w:font>
  <w:font w:name="Euphorigenic">
    <w:panose1 w:val="02000400000000000000"/>
    <w:charset w:val="00"/>
    <w:family w:val="auto"/>
    <w:pitch w:val="default"/>
    <w:sig w:usb0="80000027" w:usb1="0000000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4B2602"/>
    <w:rsid w:val="614B26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7</Pages>
  <Words>2474</Words>
  <Characters>2602</Characters>
  <Lines>0</Lines>
  <Paragraphs>0</Paragraphs>
  <TotalTime>1</TotalTime>
  <ScaleCrop>false</ScaleCrop>
  <LinksUpToDate>false</LinksUpToDate>
  <CharactersWithSpaces>2604</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2022-12-22T02:25:00Z</dcterms:created>
  <dc:creator>Jovesong</dc:creator>
  <cp:lastModifiedBy>hnjla</cp:lastModifiedBy>
  <dcterms:modified xsi:type="dcterms:W3CDTF">2022-12-22T02:28:22Z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