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海南省政府国有资产监督管理委员会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网站管理办法(试行)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54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第一条</w:t>
      </w:r>
      <w:r>
        <w:rPr>
          <w:rFonts w:hint="eastAsia" w:ascii="宋体" w:hAnsi="宋体" w:eastAsia="宋体" w:cs="宋体"/>
          <w:caps w:val="0"/>
          <w:color w:val="333333"/>
          <w:spacing w:val="0"/>
          <w:sz w:val="24"/>
          <w:szCs w:val="24"/>
          <w:bdr w:val="none" w:color="auto" w:sz="0" w:space="0"/>
          <w:shd w:val="clear" w:fill="FFFFFF"/>
          <w:vertAlign w:val="baseline"/>
        </w:rPr>
        <w:t>  为加强海南省政府国有资产监督管理委员会网站（以下简称网站）的管理和建设，根据《中华人民共和国政府信息公开条例》、《国务院办公厅关于进一步加强政府信息公开回应社会关切提升政府公信力的意见》、《国务院办公厅关于加强政府网站信息内容建设的意见》等有关规定，结合省国资委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第二条</w:t>
      </w:r>
      <w:r>
        <w:rPr>
          <w:rFonts w:hint="eastAsia" w:ascii="宋体" w:hAnsi="宋体" w:eastAsia="宋体" w:cs="宋体"/>
          <w:caps w:val="0"/>
          <w:color w:val="333333"/>
          <w:spacing w:val="0"/>
          <w:sz w:val="24"/>
          <w:szCs w:val="24"/>
          <w:bdr w:val="none" w:color="auto" w:sz="0" w:space="0"/>
          <w:shd w:val="clear" w:fill="FFFFFF"/>
          <w:vertAlign w:val="baseline"/>
        </w:rPr>
        <w:t>  网站以“信息公开、公共服务、公众参与”为宗旨，是为省国资系统提供信息社会化服务的网络平台，是宣传国资国企新闻的重要载体、政民互动的重要窗口、网上办事的重要渠道。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15"/>
          <w:sz w:val="24"/>
          <w:szCs w:val="24"/>
          <w:bdr w:val="none" w:color="auto" w:sz="0" w:space="0"/>
          <w:shd w:val="clear" w:fill="FFFFFF"/>
          <w:vertAlign w:val="baseline"/>
        </w:rPr>
        <w:t>第三条 </w:t>
      </w:r>
      <w:r>
        <w:rPr>
          <w:rFonts w:hint="eastAsia" w:ascii="宋体" w:hAnsi="宋体" w:eastAsia="宋体" w:cs="宋体"/>
          <w:caps w:val="0"/>
          <w:color w:val="333333"/>
          <w:spacing w:val="-15"/>
          <w:sz w:val="24"/>
          <w:szCs w:val="24"/>
          <w:bdr w:val="none" w:color="auto" w:sz="0" w:space="0"/>
          <w:shd w:val="clear" w:fill="FFFFFF"/>
          <w:vertAlign w:val="baseline"/>
        </w:rPr>
        <w:t> 网站英文域名为http://gzw.hainan.gov.cn。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40" w:lineRule="atLeast"/>
        <w:ind w:left="0" w:right="0" w:firstLine="63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第四条</w:t>
      </w:r>
      <w:r>
        <w:rPr>
          <w:rFonts w:hint="eastAsia" w:ascii="宋体" w:hAnsi="宋体" w:eastAsia="宋体" w:cs="宋体"/>
          <w:caps w:val="0"/>
          <w:color w:val="333333"/>
          <w:spacing w:val="0"/>
          <w:sz w:val="24"/>
          <w:szCs w:val="24"/>
          <w:bdr w:val="none" w:color="auto" w:sz="0" w:space="0"/>
          <w:shd w:val="clear" w:fill="FFFFFF"/>
          <w:vertAlign w:val="baseline"/>
        </w:rPr>
        <w:t>  上网信息严格实行“涉密不上网，上网不涉密”和“谁公开、谁审查、谁负责”的原则，委保密委员会负责对网站信息安全的保密检查工作。当发现网站有失、泄密情况时，应迅速采取果断措施进行处置。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第五条</w:t>
      </w:r>
      <w:r>
        <w:rPr>
          <w:rFonts w:hint="eastAsia" w:ascii="宋体" w:hAnsi="宋体" w:eastAsia="宋体" w:cs="宋体"/>
          <w:caps w:val="0"/>
          <w:color w:val="333333"/>
          <w:spacing w:val="0"/>
          <w:sz w:val="24"/>
          <w:szCs w:val="24"/>
          <w:bdr w:val="none" w:color="auto" w:sz="0" w:space="0"/>
          <w:shd w:val="clear" w:fill="FFFFFF"/>
          <w:vertAlign w:val="baseline"/>
        </w:rPr>
        <w:t>  党群处是网站信息内容建设的组织领导部门，负责网站信息内容的总体建设；负责我委政务微博、微信公众平台、移动APP等新媒体的内容建设与管理；负责省国资系统新闻报送人员的培训工作，培训原则上一年举办一次，以提升新闻报送人员的新闻写作水平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第六条</w:t>
      </w:r>
      <w:r>
        <w:rPr>
          <w:rFonts w:hint="eastAsia" w:ascii="宋体" w:hAnsi="宋体" w:eastAsia="宋体" w:cs="宋体"/>
          <w:caps w:val="0"/>
          <w:color w:val="333333"/>
          <w:spacing w:val="0"/>
          <w:sz w:val="24"/>
          <w:szCs w:val="24"/>
          <w:bdr w:val="none" w:color="auto" w:sz="0" w:space="0"/>
          <w:shd w:val="clear" w:fill="FFFFFF"/>
          <w:vertAlign w:val="baseline"/>
        </w:rPr>
        <w:t>  办公室负责政务信息公开组织协调和发布工作；负责政务公开信息的收集、整理、审核，并经保密审查后，每周汇总后及时发布；信访处负责承办、处理及回复由省政府网站转至网站的信访件。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第七条</w:t>
      </w:r>
      <w:r>
        <w:rPr>
          <w:rFonts w:hint="eastAsia" w:ascii="宋体" w:hAnsi="宋体" w:eastAsia="宋体" w:cs="宋体"/>
          <w:caps w:val="0"/>
          <w:color w:val="333333"/>
          <w:spacing w:val="0"/>
          <w:sz w:val="24"/>
          <w:szCs w:val="24"/>
          <w:bdr w:val="none" w:color="auto" w:sz="0" w:space="0"/>
          <w:shd w:val="clear" w:fill="FFFFFF"/>
          <w:vertAlign w:val="baseline"/>
        </w:rPr>
        <w:t>  信息中心是网站的技术支持部门，负责网站建设、运行维护及安全技术保障工作；负责政务微博、微信公众平台、移动APP等新媒体的开通和技术支持。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第八条</w:t>
      </w:r>
      <w:r>
        <w:rPr>
          <w:rFonts w:hint="eastAsia" w:ascii="宋体" w:hAnsi="宋体" w:eastAsia="宋体" w:cs="宋体"/>
          <w:caps w:val="0"/>
          <w:color w:val="333333"/>
          <w:spacing w:val="0"/>
          <w:sz w:val="24"/>
          <w:szCs w:val="24"/>
          <w:bdr w:val="none" w:color="auto" w:sz="0" w:space="0"/>
          <w:shd w:val="clear" w:fill="FFFFFF"/>
          <w:vertAlign w:val="baseline"/>
        </w:rPr>
        <w:t>  企干处负责网站信息统计结果的运用工作，将网站信息统计结果纳入年度先进处室考核加分事项之一。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第九条 </w:t>
      </w:r>
      <w:r>
        <w:rPr>
          <w:rFonts w:hint="eastAsia" w:ascii="宋体" w:hAnsi="宋体" w:eastAsia="宋体" w:cs="宋体"/>
          <w:caps w:val="0"/>
          <w:color w:val="333333"/>
          <w:spacing w:val="0"/>
          <w:sz w:val="24"/>
          <w:szCs w:val="24"/>
          <w:bdr w:val="none" w:color="auto" w:sz="0" w:space="0"/>
          <w:shd w:val="clear" w:fill="FFFFFF"/>
          <w:vertAlign w:val="baseline"/>
        </w:rPr>
        <w:t> 法规处负责网站有关省属国有企业改革相关政策的解读以及网站后台建议提案栏目中人大建议、政协提案的回复工作。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40" w:lineRule="atLeast"/>
        <w:ind w:left="0" w:right="0" w:firstLine="63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第三章  政务公开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第十条</w:t>
      </w:r>
      <w:r>
        <w:rPr>
          <w:rFonts w:hint="eastAsia" w:ascii="宋体" w:hAnsi="宋体" w:eastAsia="宋体" w:cs="宋体"/>
          <w:caps w:val="0"/>
          <w:color w:val="333333"/>
          <w:spacing w:val="0"/>
          <w:sz w:val="24"/>
          <w:szCs w:val="24"/>
          <w:bdr w:val="none" w:color="auto" w:sz="0" w:space="0"/>
          <w:shd w:val="clear" w:fill="FFFFFF"/>
          <w:vertAlign w:val="baseline"/>
        </w:rPr>
        <w:t>  网站根据省国资委信息公开实施办法，按照公开为原则、不公开为例外的要求，凡是可公开的信息，都应在网站上公布。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第十一条  </w:t>
      </w:r>
      <w:r>
        <w:rPr>
          <w:rFonts w:hint="eastAsia" w:ascii="宋体" w:hAnsi="宋体" w:eastAsia="宋体" w:cs="宋体"/>
          <w:caps w:val="0"/>
          <w:color w:val="333333"/>
          <w:spacing w:val="0"/>
          <w:sz w:val="24"/>
          <w:szCs w:val="24"/>
          <w:bdr w:val="none" w:color="auto" w:sz="0" w:space="0"/>
          <w:shd w:val="clear" w:fill="FFFFFF"/>
          <w:vertAlign w:val="baseline"/>
        </w:rPr>
        <w:t>属于主动公开范围的国资监管信息，一般自该信息形成或者变更之日起20个工作日内予以公开。法律、法规、规章对国资监管信息公开的期限另有规定的，从其规定。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第十二条</w:t>
      </w:r>
      <w:r>
        <w:rPr>
          <w:rFonts w:hint="eastAsia" w:ascii="宋体" w:hAnsi="宋体" w:eastAsia="宋体" w:cs="宋体"/>
          <w:caps w:val="0"/>
          <w:color w:val="333333"/>
          <w:spacing w:val="0"/>
          <w:sz w:val="24"/>
          <w:szCs w:val="24"/>
          <w:bdr w:val="none" w:color="auto" w:sz="0" w:space="0"/>
          <w:shd w:val="clear" w:fill="FFFFFF"/>
          <w:vertAlign w:val="baseline"/>
        </w:rPr>
        <w:t>  属于依申请公开范围的国资监管信息，省国资委信息公开工作机构应当自收到申请之日起15个工作日内予以答复;如需延长答复期限的，应当经省国资委信息公开工作机构负责人同意，并告知申请人，延长期限最长不超过15个工作日。申请公开的国资监管信息涉及第三方权益的，征求第三方意见所用时间不计算在规定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第十三条</w:t>
      </w:r>
      <w:r>
        <w:rPr>
          <w:rFonts w:hint="eastAsia" w:ascii="宋体" w:hAnsi="宋体" w:eastAsia="宋体" w:cs="宋体"/>
          <w:caps w:val="0"/>
          <w:color w:val="333333"/>
          <w:spacing w:val="0"/>
          <w:sz w:val="24"/>
          <w:szCs w:val="24"/>
          <w:bdr w:val="none" w:color="auto" w:sz="0" w:space="0"/>
          <w:shd w:val="clear" w:fill="FFFFFF"/>
          <w:vertAlign w:val="baseline"/>
        </w:rPr>
        <w:t>  网站发布的非涉密公文，不得带有单位公章和领导个人签章，不得带有红头和密码电报报头格式，不得带有领导批示内容。确需发布领导批示内容的，须按程序报经有关领导审批后发布。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40" w:lineRule="atLeast"/>
        <w:ind w:left="0" w:right="0" w:firstLine="63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第四章  新闻发布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第十四条</w:t>
      </w:r>
      <w:r>
        <w:rPr>
          <w:rFonts w:hint="eastAsia" w:ascii="宋体" w:hAnsi="宋体" w:eastAsia="宋体" w:cs="宋体"/>
          <w:caps w:val="0"/>
          <w:color w:val="333333"/>
          <w:spacing w:val="0"/>
          <w:sz w:val="24"/>
          <w:szCs w:val="24"/>
          <w:bdr w:val="none" w:color="auto" w:sz="0" w:space="0"/>
          <w:shd w:val="clear" w:fill="FFFFFF"/>
          <w:vertAlign w:val="baseline"/>
        </w:rPr>
        <w:t>  网站应做好国资国企新闻发布工作，充分发挥新闻宣传、舆论引导的作用。新闻发布的主要内容包括：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（一）委领导重要活动、重要讲话；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（二）委重要会议新闻；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（三）国资工作动态；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（五）委组织召开或参与的新闻发布会；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（六）各单位确定需要发布的重要新闻；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（七）整合转载新华网、人民网、中国政府网、国务院各部网站、地方政府网站、海南日报、南海网及其他媒体的国资新闻信息等。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第十五条</w:t>
      </w:r>
      <w:r>
        <w:rPr>
          <w:rFonts w:hint="eastAsia" w:ascii="宋体" w:hAnsi="宋体" w:eastAsia="宋体" w:cs="宋体"/>
          <w:caps w:val="0"/>
          <w:color w:val="333333"/>
          <w:spacing w:val="0"/>
          <w:sz w:val="24"/>
          <w:szCs w:val="24"/>
          <w:bdr w:val="none" w:color="auto" w:sz="0" w:space="0"/>
          <w:shd w:val="clear" w:fill="FFFFFF"/>
          <w:vertAlign w:val="baseline"/>
        </w:rPr>
        <w:t>  各处室、各企业应及时向网站报送需发布的各类信息。各处室发布的新闻工作信息须报分管委领导批准后方可发布，各企业报送的信息由信息中心报分管委领导批准后发布。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第十六条</w:t>
      </w:r>
      <w:r>
        <w:rPr>
          <w:rFonts w:hint="eastAsia" w:ascii="宋体" w:hAnsi="宋体" w:eastAsia="宋体" w:cs="宋体"/>
          <w:caps w:val="0"/>
          <w:color w:val="333333"/>
          <w:spacing w:val="0"/>
          <w:sz w:val="24"/>
          <w:szCs w:val="24"/>
          <w:bdr w:val="none" w:color="auto" w:sz="0" w:space="0"/>
          <w:shd w:val="clear" w:fill="FFFFFF"/>
          <w:vertAlign w:val="baseline"/>
        </w:rPr>
        <w:t>  对涉及国资国企的重要舆情和公众关注的国资国企的热点问题，应当在网站通过在线访谈等形式及时予以回应。重要政策出台后，要针对公众关切，及时通过网站发布解读信息。发生突发重大公共事件时，应在网站及时发布权威信息。已经通过电视、报刊、网络或其他方式发布的新闻信息，应及时报委信息中心在网站转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40"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第五章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第十七条</w:t>
      </w:r>
      <w:r>
        <w:rPr>
          <w:rFonts w:hint="eastAsia" w:ascii="宋体" w:hAnsi="宋体" w:eastAsia="宋体" w:cs="宋体"/>
          <w:caps w:val="0"/>
          <w:color w:val="333333"/>
          <w:spacing w:val="0"/>
          <w:sz w:val="24"/>
          <w:szCs w:val="24"/>
          <w:bdr w:val="none" w:color="auto" w:sz="0" w:space="0"/>
          <w:shd w:val="clear" w:fill="FFFFFF"/>
          <w:vertAlign w:val="baseline"/>
        </w:rPr>
        <w:t>  网站政务服务主要是指为社会公众提供网上办事和互动交流服务。主要有网上办事指南、互动交流、在线咨询、表格下载、领导信箱、网上信访等。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第十八条</w:t>
      </w:r>
      <w:r>
        <w:rPr>
          <w:rFonts w:hint="eastAsia" w:ascii="宋体" w:hAnsi="宋体" w:eastAsia="宋体" w:cs="宋体"/>
          <w:caps w:val="0"/>
          <w:color w:val="333333"/>
          <w:spacing w:val="0"/>
          <w:sz w:val="24"/>
          <w:szCs w:val="24"/>
          <w:bdr w:val="none" w:color="auto" w:sz="0" w:space="0"/>
          <w:shd w:val="clear" w:fill="FFFFFF"/>
          <w:vertAlign w:val="baseline"/>
        </w:rPr>
        <w:t>  各处室要依据责任清单将本部门的各类业务流程编制成办事指南，发布在网站的办事指南栏目。其中，办事指南要求流程清晰，办事要素全面，符合法定审批程序。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第十九条</w:t>
      </w:r>
      <w:r>
        <w:rPr>
          <w:rFonts w:hint="eastAsia" w:ascii="宋体" w:hAnsi="宋体" w:eastAsia="宋体" w:cs="宋体"/>
          <w:caps w:val="0"/>
          <w:color w:val="333333"/>
          <w:spacing w:val="0"/>
          <w:sz w:val="24"/>
          <w:szCs w:val="24"/>
          <w:bdr w:val="none" w:color="auto" w:sz="0" w:space="0"/>
          <w:shd w:val="clear" w:fill="FFFFFF"/>
          <w:vertAlign w:val="baseline"/>
        </w:rPr>
        <w:t>  信息中心通过网站后台承接的网上诉求信息，应及时按有关程序上报，并将办理结果及时回复。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第二十条</w:t>
      </w:r>
      <w:r>
        <w:rPr>
          <w:rFonts w:hint="eastAsia" w:ascii="宋体" w:hAnsi="宋体" w:eastAsia="宋体" w:cs="宋体"/>
          <w:caps w:val="0"/>
          <w:color w:val="333333"/>
          <w:spacing w:val="0"/>
          <w:sz w:val="24"/>
          <w:szCs w:val="24"/>
          <w:bdr w:val="none" w:color="auto" w:sz="0" w:space="0"/>
          <w:shd w:val="clear" w:fill="FFFFFF"/>
          <w:vertAlign w:val="baseline"/>
        </w:rPr>
        <w:t>  在线咨询、领导信箱、征集调查、网上信访等栏目相关业务处室应自接件之日起5个工作日内将回复结果的电子版报信息中心。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40" w:lineRule="atLeast"/>
        <w:ind w:left="0" w:right="0" w:firstLine="63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第六章  网站安全管理及运行维护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第二十一条</w:t>
      </w:r>
      <w:r>
        <w:rPr>
          <w:rFonts w:hint="eastAsia" w:ascii="宋体" w:hAnsi="宋体" w:eastAsia="宋体" w:cs="宋体"/>
          <w:caps w:val="0"/>
          <w:color w:val="333333"/>
          <w:spacing w:val="0"/>
          <w:sz w:val="24"/>
          <w:szCs w:val="24"/>
          <w:bdr w:val="none" w:color="auto" w:sz="0" w:space="0"/>
          <w:shd w:val="clear" w:fill="FFFFFF"/>
          <w:vertAlign w:val="baseline"/>
        </w:rPr>
        <w:t>  网站部署在省党政信息中心机房的服务器上，网站网络及硬件设备管理由省党政信息中心负责，网站后台代码及网站页面安全由海南信息岛技术服务中心有限公司负责。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第二十二条</w:t>
      </w:r>
      <w:r>
        <w:rPr>
          <w:rFonts w:hint="eastAsia" w:ascii="宋体" w:hAnsi="宋体" w:eastAsia="宋体" w:cs="宋体"/>
          <w:caps w:val="0"/>
          <w:color w:val="333333"/>
          <w:spacing w:val="0"/>
          <w:sz w:val="24"/>
          <w:szCs w:val="24"/>
          <w:bdr w:val="none" w:color="auto" w:sz="0" w:space="0"/>
          <w:shd w:val="clear" w:fill="FFFFFF"/>
          <w:vertAlign w:val="baseline"/>
        </w:rPr>
        <w:t>  各处室负责网站对应栏目新闻、工作信息的采编、审核与发布工作。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第二十三条</w:t>
      </w:r>
      <w:r>
        <w:rPr>
          <w:rFonts w:hint="eastAsia" w:ascii="宋体" w:hAnsi="宋体" w:eastAsia="宋体" w:cs="宋体"/>
          <w:caps w:val="0"/>
          <w:color w:val="333333"/>
          <w:spacing w:val="0"/>
          <w:sz w:val="24"/>
          <w:szCs w:val="24"/>
          <w:bdr w:val="none" w:color="auto" w:sz="0" w:space="0"/>
          <w:shd w:val="clear" w:fill="FFFFFF"/>
          <w:vertAlign w:val="baseline"/>
        </w:rPr>
        <w:t>  加强网站数据、后台密码和维护入口的管理。后台信息发布、更新密钥必须双人保管，密钥原则上每半个月更新一次。后台用户名、密码由各处室妥善保管，由于密码泄露造成的责任问题由相关处室负责人承担。网站服务器数据必须每天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第二十四条</w:t>
      </w:r>
      <w:r>
        <w:rPr>
          <w:rFonts w:hint="eastAsia" w:ascii="宋体" w:hAnsi="宋体" w:eastAsia="宋体" w:cs="宋体"/>
          <w:caps w:val="0"/>
          <w:color w:val="333333"/>
          <w:spacing w:val="0"/>
          <w:sz w:val="24"/>
          <w:szCs w:val="24"/>
          <w:bdr w:val="none" w:color="auto" w:sz="0" w:space="0"/>
          <w:shd w:val="clear" w:fill="FFFFFF"/>
          <w:vertAlign w:val="baseline"/>
        </w:rPr>
        <w:t>  加强对网站的监控，当发现网站有被病毒、黑客入侵、黑屏等异常情况时，按规定及时上报，迅速作出处理。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第二十五条</w:t>
      </w:r>
      <w:r>
        <w:rPr>
          <w:rFonts w:hint="eastAsia" w:ascii="宋体" w:hAnsi="宋体" w:eastAsia="宋体" w:cs="宋体"/>
          <w:caps w:val="0"/>
          <w:color w:val="333333"/>
          <w:spacing w:val="0"/>
          <w:sz w:val="24"/>
          <w:szCs w:val="24"/>
          <w:bdr w:val="none" w:color="auto" w:sz="0" w:space="0"/>
          <w:shd w:val="clear" w:fill="FFFFFF"/>
          <w:vertAlign w:val="baseline"/>
        </w:rPr>
        <w:t>  建立网站安全风险评估机制，安全评估原则上每年进行一次。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第二十六条</w:t>
      </w:r>
      <w:r>
        <w:rPr>
          <w:rFonts w:hint="eastAsia" w:ascii="宋体" w:hAnsi="宋体" w:eastAsia="宋体" w:cs="宋体"/>
          <w:caps w:val="0"/>
          <w:color w:val="333333"/>
          <w:spacing w:val="0"/>
          <w:sz w:val="24"/>
          <w:szCs w:val="24"/>
          <w:bdr w:val="none" w:color="auto" w:sz="0" w:space="0"/>
          <w:shd w:val="clear" w:fill="FFFFFF"/>
          <w:vertAlign w:val="baseline"/>
        </w:rPr>
        <w:t>  网站原则上每三年进行一次升级，每年根据省政府部门网站绩效考核评比结果中存在的问题可分类随时进行整改升级。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第二十七条</w:t>
      </w:r>
      <w:r>
        <w:rPr>
          <w:rFonts w:hint="eastAsia" w:ascii="宋体" w:hAnsi="宋体" w:eastAsia="宋体" w:cs="宋体"/>
          <w:caps w:val="0"/>
          <w:color w:val="333333"/>
          <w:spacing w:val="0"/>
          <w:sz w:val="24"/>
          <w:szCs w:val="24"/>
          <w:bdr w:val="none" w:color="auto" w:sz="0" w:space="0"/>
          <w:shd w:val="clear" w:fill="FFFFFF"/>
          <w:vertAlign w:val="baseline"/>
        </w:rPr>
        <w:t>  网站发布的所有信息档案资料由信息中心负责统计、整理、归档。每月将信息发布情况进行通报。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第二十八条</w:t>
      </w:r>
      <w:r>
        <w:rPr>
          <w:rFonts w:hint="eastAsia" w:ascii="宋体" w:hAnsi="宋体" w:eastAsia="宋体" w:cs="宋体"/>
          <w:caps w:val="0"/>
          <w:color w:val="333333"/>
          <w:spacing w:val="0"/>
          <w:sz w:val="24"/>
          <w:szCs w:val="24"/>
          <w:bdr w:val="none" w:color="auto" w:sz="0" w:space="0"/>
          <w:shd w:val="clear" w:fill="FFFFFF"/>
          <w:vertAlign w:val="baseline"/>
        </w:rPr>
        <w:t>  网站升级、整改测评费用由信息中心按电子政务项目申报程序向工信厅进行立项申请，并由办公室负责将相关费用纳入省国资委年度预算费用。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第二十九条</w:t>
      </w:r>
      <w:r>
        <w:rPr>
          <w:rFonts w:hint="eastAsia" w:ascii="宋体" w:hAnsi="宋体" w:eastAsia="宋体" w:cs="宋体"/>
          <w:caps w:val="0"/>
          <w:color w:val="333333"/>
          <w:spacing w:val="0"/>
          <w:sz w:val="24"/>
          <w:szCs w:val="24"/>
          <w:bdr w:val="none" w:color="auto" w:sz="0" w:space="0"/>
          <w:shd w:val="clear" w:fill="FFFFFF"/>
          <w:vertAlign w:val="baseline"/>
        </w:rPr>
        <w:t>  办公室、党群处、信息中心每周联合召开一次例会。由办公室牵头，商讨网站信息公开工作有关事宜。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495" w:lineRule="atLeast"/>
        <w:ind w:left="0" w:right="0" w:firstLine="63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第三十条</w:t>
      </w:r>
      <w:r>
        <w:rPr>
          <w:rFonts w:hint="eastAsia" w:ascii="宋体" w:hAnsi="宋体" w:eastAsia="宋体" w:cs="宋体"/>
          <w:caps w:val="0"/>
          <w:color w:val="333333"/>
          <w:spacing w:val="0"/>
          <w:sz w:val="24"/>
          <w:szCs w:val="24"/>
          <w:bdr w:val="none" w:color="auto" w:sz="0" w:space="0"/>
          <w:shd w:val="clear" w:fill="FFFFFF"/>
          <w:vertAlign w:val="baseline"/>
        </w:rPr>
        <w:t>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宋体" w:hAnsi="宋体" w:eastAsia="宋体" w:cs="宋体"/>
          <w:caps w:val="0"/>
          <w:color w:val="333333"/>
          <w:spacing w:val="0"/>
          <w:sz w:val="24"/>
          <w:szCs w:val="24"/>
          <w:bdr w:val="none" w:color="auto" w:sz="0" w:space="0"/>
          <w:shd w:val="clear" w:fill="FFFFFF"/>
          <w:vertAlign w:val="baseline"/>
        </w:rPr>
      </w:pPr>
      <w:r>
        <w:rPr>
          <w:rStyle w:val="5"/>
          <w:rFonts w:hint="eastAsia" w:ascii="宋体" w:hAnsi="宋体" w:eastAsia="宋体" w:cs="宋体"/>
          <w:b/>
          <w:caps w:val="0"/>
          <w:color w:val="333333"/>
          <w:spacing w:val="0"/>
          <w:sz w:val="24"/>
          <w:szCs w:val="24"/>
          <w:bdr w:val="none" w:color="auto" w:sz="0" w:space="0"/>
          <w:shd w:val="clear" w:fill="FFFFFF"/>
          <w:vertAlign w:val="baseline"/>
        </w:rPr>
        <w:t>第三十一条</w:t>
      </w:r>
      <w:r>
        <w:rPr>
          <w:rFonts w:hint="eastAsia" w:ascii="宋体" w:hAnsi="宋体" w:eastAsia="宋体" w:cs="宋体"/>
          <w:caps w:val="0"/>
          <w:color w:val="333333"/>
          <w:spacing w:val="0"/>
          <w:sz w:val="24"/>
          <w:szCs w:val="24"/>
          <w:bdr w:val="none" w:color="auto" w:sz="0" w:space="0"/>
          <w:shd w:val="clear" w:fill="FFFFFF"/>
          <w:vertAlign w:val="baseline"/>
        </w:rPr>
        <w:t>  本办法由委信息中心负责解释。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宋体" w:hAnsi="宋体" w:eastAsia="宋体" w:cs="宋体"/>
          <w:caps w:val="0"/>
          <w:color w:val="333333"/>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textAlignment w:val="baseline"/>
        <w:rPr>
          <w:rFonts w:hint="eastAsia" w:ascii="宋体" w:hAnsi="宋体" w:eastAsia="宋体" w:cs="宋体"/>
          <w:caps w:val="0"/>
          <w:color w:val="333333"/>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textAlignment w:val="baseline"/>
        <w:rPr>
          <w:rFonts w:hint="eastAsia" w:ascii="宋体" w:hAnsi="宋体" w:eastAsia="宋体" w:cs="宋体"/>
          <w:caps w:val="0"/>
          <w:color w:val="333333"/>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textAlignment w:val="baseline"/>
        <w:rPr>
          <w:rFonts w:hint="eastAsia" w:ascii="宋体" w:hAnsi="宋体" w:eastAsia="宋体" w:cs="宋体"/>
          <w:caps w:val="0"/>
          <w:color w:val="333333"/>
          <w:spacing w:val="0"/>
          <w:sz w:val="24"/>
          <w:szCs w:val="24"/>
          <w:bdr w:val="none" w:color="auto" w:sz="0" w:space="0"/>
          <w:shd w:val="clear" w:fill="FFFFFF"/>
          <w:vertAlign w:val="baseline"/>
        </w:rPr>
      </w:pPr>
      <w:r>
        <w:rPr>
          <w:rFonts w:hint="eastAsia" w:ascii="宋体" w:hAnsi="宋体" w:eastAsia="宋体" w:cs="宋体"/>
          <w:caps w:val="0"/>
          <w:color w:val="333333"/>
          <w:spacing w:val="0"/>
          <w:sz w:val="24"/>
          <w:szCs w:val="24"/>
          <w:shd w:val="clear" w:fill="FFFFFF"/>
          <w:vertAlign w:val="baseline"/>
        </w:rPr>
        <w:t>附件：网站栏目责任部门</w:t>
      </w:r>
    </w:p>
    <w:p>
      <w:pPr>
        <w:rPr>
          <w:rFonts w:hint="eastAsia" w:ascii="宋体" w:hAnsi="宋体" w:eastAsia="宋体" w:cs="宋体"/>
          <w:caps w:val="0"/>
          <w:color w:val="333333"/>
          <w:spacing w:val="0"/>
          <w:sz w:val="24"/>
          <w:szCs w:val="24"/>
          <w:bdr w:val="none" w:color="auto" w:sz="0" w:space="0"/>
          <w:shd w:val="clear" w:fill="FFFFFF"/>
          <w:vertAlign w:val="baseline"/>
        </w:rPr>
      </w:pPr>
      <w:r>
        <w:rPr>
          <w:rFonts w:hint="eastAsia" w:ascii="宋体" w:hAnsi="宋体" w:eastAsia="宋体" w:cs="宋体"/>
          <w:caps w:val="0"/>
          <w:color w:val="333333"/>
          <w:spacing w:val="0"/>
          <w:sz w:val="24"/>
          <w:szCs w:val="24"/>
          <w:bdr w:val="none" w:color="auto" w:sz="0" w:space="0"/>
          <w:shd w:val="clear" w:fill="FFFFFF"/>
          <w:vertAlign w:val="baseline"/>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textAlignment w:val="baseline"/>
        <w:rPr>
          <w:rFonts w:hint="eastAsia" w:ascii="宋体" w:hAnsi="宋体" w:eastAsia="宋体" w:cs="宋体"/>
          <w:caps w:val="0"/>
          <w:color w:val="333333"/>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ascii="黑体" w:hAnsi="宋体" w:eastAsia="黑体" w:cs="黑体"/>
          <w:caps w:val="0"/>
          <w:color w:val="333333"/>
          <w:spacing w:val="0"/>
          <w:sz w:val="31"/>
          <w:szCs w:val="31"/>
          <w:bdr w:val="none" w:color="auto" w:sz="0" w:space="0"/>
          <w:shd w:val="clear" w:fill="FFFFFF"/>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Fonts w:ascii="小标宋" w:hAnsi="小标宋" w:eastAsia="小标宋" w:cs="小标宋"/>
          <w:caps w:val="0"/>
          <w:color w:val="333333"/>
          <w:spacing w:val="0"/>
          <w:sz w:val="43"/>
          <w:szCs w:val="43"/>
          <w:bdr w:val="none" w:color="auto" w:sz="0" w:space="0"/>
          <w:shd w:val="clear" w:fill="FFFFFF"/>
          <w:vertAlign w:val="baseline"/>
        </w:rPr>
        <w:t>网站栏目责任部门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textAlignment w:val="baseline"/>
        <w:rPr>
          <w:rFonts w:hint="eastAsia" w:ascii="微软雅黑" w:hAnsi="微软雅黑" w:eastAsia="微软雅黑" w:cs="微软雅黑"/>
          <w:caps w:val="0"/>
          <w:color w:val="333333"/>
          <w:spacing w:val="0"/>
          <w:sz w:val="21"/>
          <w:szCs w:val="21"/>
        </w:rPr>
      </w:pPr>
      <w:r>
        <w:rPr>
          <w:rFonts w:ascii="仿宋_GB2312" w:hAnsi="微软雅黑" w:eastAsia="仿宋_GB2312" w:cs="仿宋_GB2312"/>
          <w:caps w:val="0"/>
          <w:color w:val="333333"/>
          <w:spacing w:val="0"/>
          <w:sz w:val="31"/>
          <w:szCs w:val="31"/>
          <w:bdr w:val="none" w:color="auto" w:sz="0" w:space="0"/>
          <w:shd w:val="clear" w:fill="FFFFFF"/>
          <w:vertAlign w:val="baseline"/>
        </w:rPr>
        <w:t> </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83"/>
        <w:gridCol w:w="13"/>
        <w:gridCol w:w="13"/>
        <w:gridCol w:w="3001"/>
        <w:gridCol w:w="2837"/>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信息目录</w:t>
            </w:r>
          </w:p>
        </w:tc>
        <w:tc>
          <w:tcPr>
            <w:tcW w:w="30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信息内容</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报送时间</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一、政府信息公开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机构介绍</w:t>
            </w:r>
          </w:p>
        </w:tc>
        <w:tc>
          <w:tcPr>
            <w:tcW w:w="30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机构概况、职能介绍、机构设置(包括各处室（局、信息中心)职能和责任人）、领导简介</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文件正式签发后的3-5个工作日内</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企干处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人事信息</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干部任免、公务员考录、事业单位招考等</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企干处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财政信息</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三公经费、专项经费、财政预决算</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caps w:val="0"/>
                <w:color w:val="333333"/>
                <w:spacing w:val="0"/>
                <w:sz w:val="21"/>
                <w:szCs w:val="21"/>
                <w:vertAlign w:val="baseline"/>
              </w:rPr>
            </w:pP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政府采购</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信息公开</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信息公开年报</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每年3月30日前</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计划规划</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重大决策、规划信息，年度工作总结及工作计划等；</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公文类信息</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涉密文件、非普发性文件等除外</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文件正式签发后的7-10个工作日内由办公室发至信息中心</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法规文件</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国资法律法规、政府规章、规范性文件、其他文件、文件解读等；</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法规处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国资统计</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国资国企财务统计及统计数据等</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评价处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信息公开</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企业基本情况、主要会计数据和财务指标等重大信息公开。建立省属企业财务等重大信息公开办法。</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评价处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企业监事会信息公开</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参照有关监督机构及上市公司监事会信息披露做法，公开监事会对企业监督检查情况</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文件正式签发后的7-10个工作日内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15"/>
                <w:sz w:val="24"/>
                <w:szCs w:val="24"/>
                <w:bdr w:val="none" w:color="auto" w:sz="0" w:space="0"/>
                <w:vertAlign w:val="baseline"/>
              </w:rPr>
              <w:t>各监事会办事处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治理处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应急管理</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突发公共事件应急预案及处置程序、各类突发公共事件预警信息及应对情况；</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文件正式签发后的1-2个工作日内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发改处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通知公告</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各类通知文件、招聘、招投标行为、其他业务公告等</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预告类公示公告需在事项发生前3-5个工作日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结果类公示公告需在信息产生后3-5个工作日内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二、国资动态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9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主要工作</w:t>
            </w:r>
          </w:p>
        </w:tc>
        <w:tc>
          <w:tcPr>
            <w:tcW w:w="301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国资要闻、工作动态、图片新闻</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事件发生的3-5个工作日内</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9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国资简报</w:t>
            </w:r>
          </w:p>
        </w:tc>
        <w:tc>
          <w:tcPr>
            <w:tcW w:w="301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某一时期的专题工作简报</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三、热点专题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83"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热点专题</w:t>
            </w:r>
          </w:p>
        </w:tc>
        <w:tc>
          <w:tcPr>
            <w:tcW w:w="3027"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某一时期的工作重点，各类专项活动开展情况</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每周更新</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四、省属企业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9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企业动态</w:t>
            </w:r>
          </w:p>
        </w:tc>
        <w:tc>
          <w:tcPr>
            <w:tcW w:w="301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企业动态、党建等</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3-5个工作日内</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9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企业之窗</w:t>
            </w:r>
          </w:p>
        </w:tc>
        <w:tc>
          <w:tcPr>
            <w:tcW w:w="301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企业简介</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每年至少更新一次</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办公室牵头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五、在线服务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83"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办事指南</w:t>
            </w:r>
          </w:p>
        </w:tc>
        <w:tc>
          <w:tcPr>
            <w:tcW w:w="3027"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办事指南要素包含事项名称、依据、申请条件、材料；办理时间、地点、联系电话、办理流程等。</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有变更在3-5个工作日内更新</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各业务处室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83"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表格下载</w:t>
            </w:r>
          </w:p>
        </w:tc>
        <w:tc>
          <w:tcPr>
            <w:tcW w:w="3027"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各类需填报的表格</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3-5个工作日内</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147"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依照法律、法规、规章规定应当由本机关予以公开的其他政府信息。</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6"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24"/>
                <w:szCs w:val="24"/>
                <w:bdr w:val="none" w:color="auto" w:sz="0" w:space="0"/>
                <w:vertAlign w:val="baseline"/>
              </w:rPr>
              <w:t>六、公众参与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互动交流</w:t>
            </w:r>
          </w:p>
        </w:tc>
        <w:tc>
          <w:tcPr>
            <w:tcW w:w="30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领导信箱、在线咨询、在线调查、意见建议等</w:t>
            </w:r>
          </w:p>
        </w:tc>
        <w:tc>
          <w:tcPr>
            <w:tcW w:w="2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信息中心每日查看，在1-3个工作日内报保密室，按照外来文件程序办理，具体办理处室在5个工作日内将电子版报信息中心，通过网站后台答复</w:t>
            </w:r>
          </w:p>
        </w:tc>
        <w:tc>
          <w:tcPr>
            <w:tcW w:w="136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各 处 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在线访谈</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针对国资国企热点进行的在线访谈栏目</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每年至少三次</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党群处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调查征集</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在网站开展调查征集类活动</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每年至少三次</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党群处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建议提案</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省政府建议提案栏目转交国资委办理文件。</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按文件要求查看后台</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由法规处负责后台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9"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网上信访</w:t>
            </w:r>
          </w:p>
        </w:tc>
        <w:tc>
          <w:tcPr>
            <w:tcW w:w="30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省政府网上信访栏目，转交国资委办理信件。</w:t>
            </w:r>
          </w:p>
        </w:tc>
        <w:tc>
          <w:tcPr>
            <w:tcW w:w="28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每日查看信访信息</w:t>
            </w:r>
          </w:p>
        </w:tc>
        <w:tc>
          <w:tcPr>
            <w:tcW w:w="136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i w:val="0"/>
                <w:caps w:val="0"/>
                <w:color w:val="333333"/>
                <w:spacing w:val="0"/>
                <w:sz w:val="24"/>
                <w:szCs w:val="24"/>
                <w:bdr w:val="none" w:color="auto" w:sz="0" w:space="0"/>
                <w:vertAlign w:val="baseline"/>
              </w:rPr>
              <w:t>由信访处负责后台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仿宋_GB2312" w:hAnsi="微软雅黑" w:eastAsia="仿宋_GB2312" w:cs="仿宋_GB2312"/>
          <w:caps w:val="0"/>
          <w:color w:val="333333"/>
          <w:spacing w:val="0"/>
          <w:sz w:val="28"/>
          <w:szCs w:val="28"/>
          <w:bdr w:val="none" w:color="auto" w:sz="0" w:space="0"/>
          <w:shd w:val="clear" w:fill="FFFFFF"/>
          <w:vertAlign w:val="baseline"/>
        </w:rPr>
        <w:t>备注：门户网站栏目将根据需要不断进行调整，同时相应地调整责任部门。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小标宋">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85E48"/>
    <w:rsid w:val="2438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2022-12-15T03:35:00Z</dcterms:created>
  <dc:creator>hnjla</dc:creator>
  <cp:lastModifiedBy>hnjla</cp:lastModifiedBy>
  <dcterms:modified xsi:type="dcterms:W3CDTF">2022-12-15T03:36:40Z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