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仿宋_GB2312" w:eastAsia="黑体" w:cs="宋体"/>
          <w:kern w:val="0"/>
          <w:sz w:val="32"/>
          <w:szCs w:val="32"/>
        </w:rPr>
      </w:pPr>
      <w:r>
        <w:rPr>
          <w:rFonts w:hint="eastAsia" w:ascii="黑体" w:hAnsi="仿宋_GB2312" w:eastAsia="黑体" w:cs="宋体"/>
          <w:kern w:val="0"/>
          <w:sz w:val="32"/>
          <w:szCs w:val="32"/>
        </w:rPr>
        <w:t>附件1</w:t>
      </w:r>
    </w:p>
    <w:p>
      <w:pPr>
        <w:spacing w:line="500" w:lineRule="exact"/>
        <w:jc w:val="left"/>
        <w:rPr>
          <w:rFonts w:hint="eastAsia" w:ascii="黑体" w:hAnsi="仿宋_GB2312" w:eastAsia="黑体" w:cs="宋体"/>
          <w:b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小标宋" w:hAnsi="仿宋_GB2312" w:eastAsia="小标宋" w:cs="宋体"/>
          <w:bCs/>
          <w:spacing w:val="-20"/>
          <w:kern w:val="0"/>
          <w:sz w:val="44"/>
          <w:szCs w:val="44"/>
        </w:rPr>
      </w:pPr>
      <w:r>
        <w:rPr>
          <w:rFonts w:hint="eastAsia" w:ascii="小标宋" w:hAnsi="仿宋_GB2312" w:eastAsia="小标宋" w:cs="宋体"/>
          <w:bCs/>
          <w:spacing w:val="-20"/>
          <w:kern w:val="0"/>
          <w:sz w:val="44"/>
          <w:szCs w:val="44"/>
        </w:rPr>
        <w:t>省属重点监管企业建设项目目标考核评分标准</w:t>
      </w:r>
    </w:p>
    <w:p>
      <w:pPr>
        <w:spacing w:line="580" w:lineRule="exact"/>
        <w:jc w:val="center"/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</w:rPr>
      </w:pPr>
    </w:p>
    <w:tbl>
      <w:tblPr>
        <w:tblStyle w:val="2"/>
        <w:tblW w:w="9246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569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0"/>
                <w:szCs w:val="30"/>
              </w:rPr>
              <w:t>考核内容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30"/>
                <w:szCs w:val="30"/>
              </w:rPr>
              <w:t>目标分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23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项目的基础工作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spacing w:line="440" w:lineRule="exact"/>
              <w:ind w:firstLine="588" w:firstLineChars="196"/>
              <w:jc w:val="left"/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项目可研10分；项目落地10分；能够执行基本建设程序和项目四项制度(法人责任制、招投标制、建设监理制和合同管理制)得5分；不完全执行得2分；不执行不得分；企业制定年度投资计划并备案得1分；无，不得分；重大投资项目实施前单项备案得1分；无，不得分；制定“六个一”责任模式、月报表、工程简报及时准确报送得3分；有“六个一”责任模式、月报不够及时报送得1分；不报不得分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23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项目的投资目标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完  成  情  况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widowControl/>
              <w:spacing w:line="440" w:lineRule="exact"/>
              <w:ind w:firstLine="588" w:firstLineChars="196"/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年度实施项目完成年度投资计划额100%以上，奖20分；90%≤完成≤100%得50分；80%≤完成∠90%得45分；70%≤完成∠80%得35分；60%≤完成∠70%得25分；50%≤完成∠60%得15分；40%≤完成∠50%得10分；完成40%以下不得分；无进展倒扣10分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项目的质量安全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widowControl/>
              <w:spacing w:line="440" w:lineRule="exact"/>
              <w:ind w:firstLine="588" w:firstLineChars="196"/>
              <w:jc w:val="left"/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无</w:t>
            </w:r>
            <w:r>
              <w:rPr>
                <w:rFonts w:hint="eastAsia" w:ascii="仿宋_GB2312" w:hAnsi="仿宋_GB2312" w:eastAsia="仿宋_GB2312" w:cs="宋体"/>
                <w:spacing w:val="4"/>
                <w:kern w:val="0"/>
                <w:sz w:val="30"/>
                <w:szCs w:val="30"/>
              </w:rPr>
              <w:t>安全质量责任事故得20分；发生安</w:t>
            </w: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全质量责任问题，经整改没有造成责任事故的得15分；发生安全质量责任问题、事故，受到相关部门通报的不得分；发生重大安全质量责任事故一票否决，扣除所有项目考核得分。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30"/>
                <w:szCs w:val="30"/>
              </w:rPr>
              <w:t>20分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92E17"/>
    <w:rsid w:val="272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2022-11-11T02:14:00Z</dcterms:created>
  <dc:creator>lenovo</dc:creator>
  <cp:lastModifiedBy>lenovo</cp:lastModifiedBy>
  <dcterms:modified xsi:type="dcterms:W3CDTF">2022-11-11T02:15:09Z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DCE80DCE09F0486FAA8067CB393711C6</vt:lpwstr>
  </property>
</Properties>
</file>