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78275">
      <w:pPr>
        <w:pStyle w:val="6"/>
        <w:keepNext w:val="0"/>
        <w:keepLines w:val="0"/>
        <w:widowControl w:val="0"/>
        <w:suppressLineNumbers w:val="0"/>
        <w:autoSpaceDE w:val="0"/>
        <w:autoSpaceDN/>
        <w:spacing w:line="525" w:lineRule="atLeast"/>
        <w:ind w:left="0" w:firstLine="225"/>
        <w:jc w:val="center"/>
        <w:rPr>
          <w:rFonts w:hint="eastAsia" w:ascii="宋体" w:hAnsi="宋体" w:eastAsia="宋体" w:cs="宋体"/>
          <w:color w:val="auto"/>
          <w:kern w:val="0"/>
          <w:sz w:val="24"/>
          <w:szCs w:val="24"/>
          <w:highlight w:val="none"/>
        </w:rPr>
      </w:pPr>
      <w:r>
        <w:rPr>
          <w:rStyle w:val="7"/>
          <w:rFonts w:hint="eastAsia" w:ascii="宋体" w:hAnsi="宋体" w:eastAsia="宋体" w:cs="宋体"/>
          <w:b/>
          <w:bCs w:val="0"/>
          <w:color w:val="auto"/>
          <w:sz w:val="43"/>
          <w:szCs w:val="43"/>
          <w:highlight w:val="none"/>
        </w:rPr>
        <w:t>项目支出绩效自评报告</w:t>
      </w:r>
      <w:r>
        <w:rPr>
          <w:rStyle w:val="7"/>
          <w:rFonts w:hint="eastAsia" w:ascii="宋体" w:hAnsi="宋体" w:eastAsia="宋体" w:cs="宋体"/>
          <w:b/>
          <w:bCs w:val="0"/>
          <w:color w:val="auto"/>
          <w:highlight w:val="none"/>
        </w:rPr>
        <w:t xml:space="preserve"> </w:t>
      </w:r>
    </w:p>
    <w:p w14:paraId="6EDE7123">
      <w:pPr>
        <w:pStyle w:val="6"/>
        <w:keepNext w:val="0"/>
        <w:keepLines w:val="0"/>
        <w:widowControl w:val="0"/>
        <w:suppressLineNumbers w:val="0"/>
        <w:autoSpaceDE w:val="0"/>
        <w:autoSpaceDN/>
        <w:spacing w:line="525" w:lineRule="atLeast"/>
        <w:ind w:left="0" w:firstLine="165"/>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p>
    <w:p w14:paraId="350614F8">
      <w:pPr>
        <w:pStyle w:val="6"/>
        <w:keepNext w:val="0"/>
        <w:keepLines w:val="0"/>
        <w:widowControl w:val="0"/>
        <w:suppressLineNumbers w:val="0"/>
        <w:autoSpaceDE w:val="0"/>
        <w:autoSpaceDN/>
        <w:spacing w:line="525" w:lineRule="atLeast"/>
        <w:ind w:left="0" w:firstLine="555"/>
        <w:rPr>
          <w:rFonts w:hint="eastAsia" w:ascii="宋体" w:hAnsi="宋体" w:eastAsia="宋体" w:cs="宋体"/>
          <w:color w:val="auto"/>
          <w:kern w:val="0"/>
          <w:sz w:val="24"/>
          <w:szCs w:val="24"/>
          <w:highlight w:val="none"/>
        </w:rPr>
      </w:pPr>
      <w:r>
        <w:rPr>
          <w:rFonts w:hint="default" w:ascii="仿宋_GB2312" w:hAnsi="宋体" w:eastAsia="仿宋_GB2312" w:cs="仿宋_GB2312"/>
          <w:color w:val="auto"/>
          <w:kern w:val="0"/>
          <w:sz w:val="31"/>
          <w:szCs w:val="31"/>
          <w:highlight w:val="none"/>
        </w:rPr>
        <w:t xml:space="preserve"> </w:t>
      </w:r>
    </w:p>
    <w:p w14:paraId="5CC1318E">
      <w:pPr>
        <w:pStyle w:val="6"/>
        <w:keepNext w:val="0"/>
        <w:keepLines w:val="0"/>
        <w:widowControl w:val="0"/>
        <w:suppressLineNumbers w:val="0"/>
        <w:autoSpaceDE w:val="0"/>
        <w:autoSpaceDN/>
        <w:spacing w:line="525" w:lineRule="atLeast"/>
        <w:ind w:left="0" w:firstLine="645"/>
        <w:rPr>
          <w:rFonts w:hint="eastAsia" w:ascii="宋体" w:hAnsi="宋体" w:eastAsia="宋体" w:cs="宋体"/>
          <w:color w:val="auto"/>
          <w:kern w:val="0"/>
          <w:sz w:val="24"/>
          <w:szCs w:val="24"/>
          <w:highlight w:val="none"/>
        </w:rPr>
      </w:pPr>
      <w:r>
        <w:rPr>
          <w:rFonts w:hint="eastAsia" w:ascii="黑体" w:hAnsi="宋体" w:eastAsia="黑体" w:cs="黑体"/>
          <w:color w:val="auto"/>
          <w:kern w:val="0"/>
          <w:sz w:val="31"/>
          <w:szCs w:val="31"/>
          <w:highlight w:val="none"/>
        </w:rPr>
        <w:t xml:space="preserve">一、项目概况    </w:t>
      </w:r>
    </w:p>
    <w:p w14:paraId="0BBF2B77">
      <w:pPr>
        <w:pStyle w:val="6"/>
        <w:keepNext w:val="0"/>
        <w:keepLines w:val="0"/>
        <w:widowControl w:val="0"/>
        <w:suppressLineNumbers w:val="0"/>
        <w:autoSpaceDE w:val="0"/>
        <w:autoSpaceDN/>
        <w:spacing w:line="525" w:lineRule="atLeast"/>
        <w:ind w:left="0" w:firstLine="645"/>
        <w:rPr>
          <w:rFonts w:hint="eastAsia" w:ascii="宋体" w:hAnsi="宋体" w:eastAsia="宋体" w:cs="宋体"/>
          <w:color w:val="auto"/>
          <w:kern w:val="0"/>
          <w:sz w:val="24"/>
          <w:szCs w:val="24"/>
          <w:highlight w:val="none"/>
        </w:rPr>
      </w:pPr>
      <w:r>
        <w:rPr>
          <w:rFonts w:hint="default" w:ascii="仿宋_GB2312" w:hAnsi="宋体" w:eastAsia="仿宋_GB2312" w:cs="仿宋_GB2312"/>
          <w:color w:val="auto"/>
          <w:kern w:val="0"/>
          <w:sz w:val="31"/>
          <w:szCs w:val="31"/>
          <w:highlight w:val="none"/>
        </w:rPr>
        <w:t xml:space="preserve">（一）项目基本情况：立项情况、实施主体项目、资金及主要内容  </w:t>
      </w:r>
    </w:p>
    <w:p w14:paraId="7E1DD5A3">
      <w:pPr>
        <w:keepNext w:val="0"/>
        <w:keepLines w:val="0"/>
        <w:widowControl w:val="0"/>
        <w:suppressLineNumbers w:val="0"/>
        <w:autoSpaceDE w:val="0"/>
        <w:autoSpaceDN/>
        <w:ind w:left="0" w:firstLine="640" w:firstLineChars="200"/>
        <w:jc w:val="both"/>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海南省北以琼州海峡与广东省划界，西隔北部湾与越南相望，东面和南面在南海中与菲律宾、文莱、印度尼西亚和马来西亚为邻，是往来</w:t>
      </w:r>
      <w:r>
        <w:rPr>
          <w:rFonts w:hint="eastAsia" w:ascii="仿宋" w:hAnsi="仿宋" w:eastAsia="仿宋" w:cs="仿宋"/>
          <w:color w:val="auto"/>
          <w:kern w:val="2"/>
          <w:sz w:val="32"/>
          <w:szCs w:val="32"/>
          <w:highlight w:val="none"/>
          <w:u w:val="none"/>
        </w:rPr>
        <w:t>印度洋和太平洋的海上交通要冲，也是连接东北亚和东南亚的区</w:t>
      </w:r>
      <w:r>
        <w:rPr>
          <w:color w:val="auto"/>
          <w:highlight w:val="none"/>
          <w:u w:val="none"/>
        </w:rPr>
        <w:fldChar w:fldCharType="begin"/>
      </w:r>
      <w:r>
        <w:rPr>
          <w:color w:val="auto"/>
          <w:highlight w:val="none"/>
          <w:u w:val="none"/>
        </w:rPr>
        <w:instrText xml:space="preserve"> HYPERLINK "https://baike.baidu.com/item/%E7%9C%81%E4%BC%9A/2089891?fromModule=lemma_inlink" </w:instrText>
      </w:r>
      <w:r>
        <w:rPr>
          <w:color w:val="auto"/>
          <w:highlight w:val="none"/>
          <w:u w:val="none"/>
        </w:rPr>
        <w:fldChar w:fldCharType="separate"/>
      </w:r>
      <w:r>
        <w:rPr>
          <w:rStyle w:val="5"/>
          <w:rFonts w:hint="eastAsia" w:ascii="仿宋" w:hAnsi="仿宋" w:eastAsia="仿宋" w:cs="仿宋"/>
          <w:color w:val="auto"/>
          <w:kern w:val="2"/>
          <w:sz w:val="32"/>
          <w:szCs w:val="32"/>
          <w:highlight w:val="none"/>
          <w:u w:val="none"/>
        </w:rPr>
        <w:t>域中心。海口市作为海南省省会</w:t>
      </w:r>
      <w:r>
        <w:rPr>
          <w:color w:val="auto"/>
          <w:highlight w:val="none"/>
          <w:u w:val="none"/>
        </w:rPr>
        <w:fldChar w:fldCharType="end"/>
      </w:r>
      <w:r>
        <w:rPr>
          <w:rFonts w:hint="eastAsia" w:ascii="仿宋" w:hAnsi="仿宋" w:eastAsia="仿宋" w:cs="仿宋"/>
          <w:color w:val="auto"/>
          <w:kern w:val="2"/>
          <w:sz w:val="32"/>
          <w:szCs w:val="32"/>
          <w:highlight w:val="none"/>
          <w:u w:val="none"/>
        </w:rPr>
        <w:t>，是国家“一带一路”战略支点城市，</w:t>
      </w:r>
      <w:r>
        <w:rPr>
          <w:color w:val="auto"/>
          <w:highlight w:val="none"/>
          <w:u w:val="none"/>
        </w:rPr>
        <w:fldChar w:fldCharType="begin"/>
      </w:r>
      <w:r>
        <w:rPr>
          <w:color w:val="auto"/>
          <w:highlight w:val="none"/>
          <w:u w:val="none"/>
        </w:rPr>
        <w:instrText xml:space="preserve"> HYPERLINK "https://baike.baidu.com/item/%E6%B5%B7%E5%8D%97%E8%87%AA%E7%94%B1%E8%B4%B8%E6%98%93%E6%B8%AF/22487320?fromModule=lemma_inlink" </w:instrText>
      </w:r>
      <w:r>
        <w:rPr>
          <w:color w:val="auto"/>
          <w:highlight w:val="none"/>
          <w:u w:val="none"/>
        </w:rPr>
        <w:fldChar w:fldCharType="separate"/>
      </w:r>
      <w:r>
        <w:rPr>
          <w:rStyle w:val="5"/>
          <w:rFonts w:hint="eastAsia" w:ascii="仿宋" w:hAnsi="仿宋" w:eastAsia="仿宋" w:cs="仿宋"/>
          <w:color w:val="auto"/>
          <w:kern w:val="2"/>
          <w:sz w:val="32"/>
          <w:szCs w:val="32"/>
          <w:highlight w:val="none"/>
          <w:u w:val="none"/>
        </w:rPr>
        <w:t>海南自由贸易港</w:t>
      </w:r>
      <w:r>
        <w:rPr>
          <w:color w:val="auto"/>
          <w:highlight w:val="none"/>
          <w:u w:val="none"/>
        </w:rPr>
        <w:fldChar w:fldCharType="end"/>
      </w:r>
      <w:r>
        <w:rPr>
          <w:color w:val="auto"/>
          <w:highlight w:val="none"/>
          <w:u w:val="none"/>
        </w:rPr>
        <w:fldChar w:fldCharType="begin"/>
      </w:r>
      <w:r>
        <w:rPr>
          <w:color w:val="auto"/>
          <w:highlight w:val="none"/>
          <w:u w:val="none"/>
        </w:rPr>
        <w:instrText xml:space="preserve"> HYPERLINK "https://baike.baidu.com/item/%E5%8C%97%E9%83%A8%E6%B9%BE%E5%9F%8E%E5%B8%82%E7%BE%A4/149748?fromModule=lemma_inlink" </w:instrText>
      </w:r>
      <w:r>
        <w:rPr>
          <w:color w:val="auto"/>
          <w:highlight w:val="none"/>
          <w:u w:val="none"/>
        </w:rPr>
        <w:fldChar w:fldCharType="separate"/>
      </w:r>
      <w:r>
        <w:rPr>
          <w:rStyle w:val="5"/>
          <w:rFonts w:hint="eastAsia" w:ascii="仿宋" w:hAnsi="仿宋" w:eastAsia="仿宋" w:cs="仿宋"/>
          <w:color w:val="auto"/>
          <w:kern w:val="2"/>
          <w:sz w:val="32"/>
          <w:szCs w:val="32"/>
          <w:highlight w:val="none"/>
          <w:u w:val="none"/>
        </w:rPr>
        <w:t>核心城市，北部湾城市群</w:t>
      </w:r>
      <w:r>
        <w:rPr>
          <w:color w:val="auto"/>
          <w:highlight w:val="none"/>
          <w:u w:val="none"/>
        </w:rPr>
        <w:fldChar w:fldCharType="end"/>
      </w:r>
      <w:r>
        <w:rPr>
          <w:rFonts w:hint="eastAsia" w:ascii="仿宋" w:hAnsi="仿宋" w:eastAsia="仿宋" w:cs="仿宋"/>
          <w:color w:val="auto"/>
          <w:kern w:val="2"/>
          <w:sz w:val="32"/>
          <w:szCs w:val="32"/>
          <w:highlight w:val="none"/>
          <w:u w:val="none"/>
        </w:rPr>
        <w:t>重要节点城市，国际性综合交通枢纽</w:t>
      </w:r>
      <w:r>
        <w:rPr>
          <w:rFonts w:hint="eastAsia" w:ascii="仿宋" w:hAnsi="仿宋" w:eastAsia="仿宋" w:cs="仿宋"/>
          <w:color w:val="auto"/>
          <w:kern w:val="2"/>
          <w:sz w:val="32"/>
          <w:szCs w:val="32"/>
          <w:highlight w:val="none"/>
        </w:rPr>
        <w:t>城市、区域性现代服务业高地、全国滨海旅游目的地，是海南省政治、经济、科技和文化中心。全市总面积3119平方公里，其中陆地面积2289平方公里，海域面积830平方公里，分设秀英、龙华、琼山、美兰4个辖区，2023年，海口市实现地区生产总值2,358.44亿元，常住总人口约300万人。</w:t>
      </w:r>
    </w:p>
    <w:p w14:paraId="5EA41605">
      <w:pPr>
        <w:keepNext w:val="0"/>
        <w:keepLines w:val="0"/>
        <w:widowControl w:val="0"/>
        <w:suppressLineNumbers w:val="0"/>
        <w:autoSpaceDE w:val="0"/>
        <w:autoSpaceDN/>
        <w:ind w:left="0" w:firstLine="640" w:firstLineChars="200"/>
        <w:jc w:val="both"/>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海口美兰国际机场（以下简称“美兰机场”）位于海口市东南方向的美兰区，距市中心直线距离约15千米。1999年5月，美兰机场正式通航，飞行区等级指标为4E，可满足波音747-400等大型飞机的起降要求，建有1条长3600米、宽45米的跑道，1条平行滑行道、2条垂直联络滑行道等；10万平方米的T1航站楼等。</w:t>
      </w:r>
    </w:p>
    <w:p w14:paraId="3C975AD1">
      <w:pPr>
        <w:keepNext w:val="0"/>
        <w:keepLines w:val="0"/>
        <w:widowControl w:val="0"/>
        <w:suppressLineNumbers w:val="0"/>
        <w:autoSpaceDE w:val="0"/>
        <w:autoSpaceDN/>
        <w:ind w:left="0" w:firstLine="640" w:firstLineChars="200"/>
        <w:jc w:val="both"/>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为适应美兰机场航空业务量增长的需求，促进海口市及海南省经济社会及旅游业持续发展，完善区域综合交通运输体系，2009年提出建设海口美兰国际机场二期扩建工程，2012年取得国家发改委关于项目建议书的批复，2015年取得国家发改委关于可行性研究报告的批复，2016年2月、10月分别获得飞行区工程、航站楼及配套和供油工程的初步设计及概算批复。2018年2月12日，中国民用航空中南地区管理局、海南省发展和改革委员会联合批复《关于海口美兰国际机场二期扩建工程重大设计变更及概算调整的批复》（民航中南局[2018]54号），总投资确定为148.30亿元（其中：工程费用1,014,311 万元，工程建设其他费用332,804 万元，基本预备费55,280万元，建设期贷款利息80,600万元）。项目于2016年9月6日开工建设，2021年12月2日正式通航投运。项目建成后美兰机场成为连接东南沿海和东南亚黄金航道的区域枢纽，整合了航空、铁路、公路等多种交通方式，成为连接岛内岛外便捷高效的综合交通中心。</w:t>
      </w:r>
    </w:p>
    <w:p w14:paraId="360B9D16">
      <w:pPr>
        <w:keepNext w:val="0"/>
        <w:keepLines w:val="0"/>
        <w:widowControl w:val="0"/>
        <w:suppressLineNumbers w:val="0"/>
        <w:autoSpaceDE w:val="0"/>
        <w:autoSpaceDN/>
        <w:ind w:left="0" w:firstLine="640" w:firstLineChars="200"/>
        <w:jc w:val="both"/>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未来，美兰机场将打造面向太平洋、印度洋的航空区域门户枢纽，为海南自贸港构建便捷的空中运输通道。美兰机场持续拓展和优化航线网络，“十四五”期间将实现国内客运航线省会机场全覆盖、重点城市航班公交化、中小城市航班通达性显著增强，加快拓展国际航空市场，充分利用航权开放优势完善国际航线网络结构，同时持续开发通程航线，提升中转便利化水平；进一步优化口岸通关效率，提升通关便利服务，实现国际货运口岸全资质开放；完善综合交通配套设施建设，深挖机场商业潜力，加快综合交通国际枢纽建设。</w:t>
      </w:r>
    </w:p>
    <w:p w14:paraId="3816C851">
      <w:pPr>
        <w:pStyle w:val="6"/>
        <w:keepNext w:val="0"/>
        <w:keepLines w:val="0"/>
        <w:widowControl w:val="0"/>
        <w:suppressLineNumbers w:val="0"/>
        <w:autoSpaceDE w:val="0"/>
        <w:autoSpaceDN/>
        <w:spacing w:line="525" w:lineRule="atLeast"/>
        <w:ind w:left="0" w:firstLine="645"/>
        <w:rPr>
          <w:rFonts w:hint="eastAsia" w:ascii="宋体" w:hAnsi="宋体" w:eastAsia="宋体" w:cs="宋体"/>
          <w:color w:val="auto"/>
          <w:kern w:val="0"/>
          <w:sz w:val="24"/>
          <w:szCs w:val="24"/>
          <w:highlight w:val="none"/>
        </w:rPr>
      </w:pPr>
      <w:r>
        <w:rPr>
          <w:rFonts w:hint="default" w:ascii="仿宋_GB2312" w:hAnsi="宋体" w:eastAsia="仿宋_GB2312" w:cs="仿宋_GB2312"/>
          <w:color w:val="auto"/>
          <w:kern w:val="0"/>
          <w:sz w:val="31"/>
          <w:szCs w:val="31"/>
          <w:highlight w:val="none"/>
        </w:rPr>
        <w:t>预算单位 省国有资产监督管理委员会本级 的项目 美兰机场二期扩建项目回购属于部门项目</w:t>
      </w:r>
    </w:p>
    <w:p w14:paraId="25598E46">
      <w:pPr>
        <w:pStyle w:val="6"/>
        <w:keepNext w:val="0"/>
        <w:keepLines w:val="0"/>
        <w:widowControl w:val="0"/>
        <w:suppressLineNumbers w:val="0"/>
        <w:autoSpaceDE w:val="0"/>
        <w:autoSpaceDN/>
        <w:spacing w:line="525" w:lineRule="atLeast"/>
        <w:ind w:left="0" w:firstLine="645"/>
        <w:rPr>
          <w:rFonts w:hint="eastAsia" w:ascii="宋体" w:hAnsi="宋体" w:eastAsia="宋体" w:cs="宋体"/>
          <w:color w:val="auto"/>
          <w:kern w:val="0"/>
          <w:sz w:val="24"/>
          <w:szCs w:val="24"/>
          <w:highlight w:val="none"/>
        </w:rPr>
      </w:pPr>
      <w:r>
        <w:rPr>
          <w:rFonts w:hint="default" w:ascii="仿宋_GB2312" w:hAnsi="宋体" w:eastAsia="仿宋_GB2312" w:cs="仿宋_GB2312"/>
          <w:color w:val="auto"/>
          <w:kern w:val="0"/>
          <w:sz w:val="31"/>
          <w:szCs w:val="31"/>
          <w:highlight w:val="none"/>
        </w:rPr>
        <w:t>主管部门为省国有资产监督管理委员会</w:t>
      </w:r>
    </w:p>
    <w:p w14:paraId="1C47AAAA">
      <w:pPr>
        <w:pStyle w:val="6"/>
        <w:keepNext w:val="0"/>
        <w:keepLines w:val="0"/>
        <w:widowControl w:val="0"/>
        <w:suppressLineNumbers w:val="0"/>
        <w:autoSpaceDE w:val="0"/>
        <w:autoSpaceDN/>
        <w:spacing w:line="525" w:lineRule="atLeast"/>
        <w:ind w:left="0" w:firstLine="645"/>
        <w:rPr>
          <w:rFonts w:hint="eastAsia" w:ascii="宋体" w:hAnsi="宋体" w:eastAsia="宋体" w:cs="宋体"/>
          <w:color w:val="auto"/>
          <w:kern w:val="0"/>
          <w:sz w:val="24"/>
          <w:szCs w:val="24"/>
          <w:highlight w:val="none"/>
        </w:rPr>
      </w:pPr>
      <w:r>
        <w:rPr>
          <w:rFonts w:hint="default" w:ascii="仿宋_GB2312" w:hAnsi="宋体" w:eastAsia="仿宋_GB2312" w:cs="仿宋_GB2312"/>
          <w:color w:val="auto"/>
          <w:kern w:val="0"/>
          <w:sz w:val="31"/>
          <w:szCs w:val="31"/>
          <w:highlight w:val="none"/>
        </w:rPr>
        <w:t>项目负责人为：</w:t>
      </w:r>
      <w:r>
        <w:rPr>
          <w:rFonts w:hint="eastAsia" w:ascii="仿宋" w:hAnsi="仿宋" w:eastAsia="仿宋" w:cs="仿宋"/>
          <w:color w:val="auto"/>
          <w:kern w:val="0"/>
          <w:sz w:val="32"/>
          <w:szCs w:val="32"/>
          <w:highlight w:val="none"/>
        </w:rPr>
        <w:t>孔祥波</w:t>
      </w:r>
    </w:p>
    <w:p w14:paraId="04580E50">
      <w:pPr>
        <w:pStyle w:val="6"/>
        <w:keepNext w:val="0"/>
        <w:keepLines w:val="0"/>
        <w:widowControl w:val="0"/>
        <w:suppressLineNumbers w:val="0"/>
        <w:autoSpaceDE w:val="0"/>
        <w:autoSpaceDN/>
        <w:spacing w:line="525" w:lineRule="atLeast"/>
        <w:ind w:left="0" w:firstLine="645"/>
        <w:rPr>
          <w:rFonts w:hint="eastAsia" w:ascii="宋体" w:hAnsi="宋体" w:eastAsia="宋体" w:cs="宋体"/>
          <w:color w:val="auto"/>
          <w:kern w:val="0"/>
          <w:sz w:val="24"/>
          <w:szCs w:val="24"/>
          <w:highlight w:val="none"/>
        </w:rPr>
      </w:pPr>
      <w:r>
        <w:rPr>
          <w:rFonts w:hint="default" w:ascii="仿宋_GB2312" w:hAnsi="宋体" w:eastAsia="仿宋_GB2312" w:cs="仿宋_GB2312"/>
          <w:color w:val="auto"/>
          <w:kern w:val="0"/>
          <w:sz w:val="31"/>
          <w:szCs w:val="31"/>
          <w:highlight w:val="none"/>
        </w:rPr>
        <w:t>联系电话：68689526</w:t>
      </w:r>
    </w:p>
    <w:p w14:paraId="1368DBF7">
      <w:pPr>
        <w:pStyle w:val="6"/>
        <w:keepNext w:val="0"/>
        <w:keepLines w:val="0"/>
        <w:widowControl w:val="0"/>
        <w:suppressLineNumbers w:val="0"/>
        <w:autoSpaceDE w:val="0"/>
        <w:autoSpaceDN/>
        <w:spacing w:line="525" w:lineRule="atLeast"/>
        <w:ind w:left="0" w:firstLine="645"/>
        <w:rPr>
          <w:rFonts w:hint="eastAsia" w:ascii="仿宋" w:hAnsi="仿宋" w:eastAsia="仿宋" w:cs="宋体"/>
          <w:color w:val="auto"/>
          <w:kern w:val="0"/>
          <w:sz w:val="32"/>
          <w:szCs w:val="32"/>
          <w:highlight w:val="none"/>
        </w:rPr>
      </w:pPr>
      <w:r>
        <w:rPr>
          <w:rFonts w:hint="default" w:ascii="仿宋_GB2312" w:hAnsi="宋体" w:eastAsia="仿宋_GB2312" w:cs="仿宋_GB2312"/>
          <w:color w:val="auto"/>
          <w:kern w:val="0"/>
          <w:sz w:val="31"/>
          <w:szCs w:val="31"/>
          <w:highlight w:val="none"/>
        </w:rPr>
        <w:t>项目概述如下：美兰机场二期扩建项目回购。</w:t>
      </w:r>
      <w:r>
        <w:rPr>
          <w:rFonts w:hint="eastAsia" w:ascii="仿宋" w:hAnsi="仿宋" w:eastAsia="仿宋" w:cs="仿宋"/>
          <w:color w:val="auto"/>
          <w:kern w:val="0"/>
          <w:sz w:val="32"/>
          <w:szCs w:val="32"/>
          <w:highlight w:val="none"/>
        </w:rPr>
        <w:t>海南省发展控股有限公司（简称海南控股）2015年-2016年分批申请承接国家发展改革委专项建设基金（简称“专项建设基金”）12.84亿元，用于美兰机场二期扩建项目建设。专项建设基金由国开发展基金有限公司（以下简称“国开基金”）以明股实债形式投入项目公司海口美兰国际机场有限责任公司用于项目建设，对应的股权由海南控股负责逐年回购并支付投资收益，相关资金由省财政厅逐年纳入政府预算安排。2022年，海南控股与国开基金、海南省机场投资管理有限公司（简称省机场投资公司）等签订《股权投资变更协议》，约定</w:t>
      </w:r>
      <w:bookmarkStart w:id="0" w:name="OLE_LINK1"/>
      <w:bookmarkEnd w:id="0"/>
      <w:r>
        <w:rPr>
          <w:rFonts w:hint="eastAsia" w:ascii="仿宋" w:hAnsi="仿宋" w:eastAsia="仿宋" w:cs="仿宋"/>
          <w:color w:val="auto"/>
          <w:kern w:val="0"/>
          <w:sz w:val="32"/>
          <w:szCs w:val="32"/>
          <w:highlight w:val="none"/>
        </w:rPr>
        <w:t>股权回购及支付投资收益的责任主体由海南控股变更为省机场投资公司，省机场投资公司继续履行股权回购及支付投资收益的责任，资金仍由省财政厅安排。</w:t>
      </w:r>
    </w:p>
    <w:p w14:paraId="6CD4D460">
      <w:pPr>
        <w:pStyle w:val="6"/>
        <w:keepNext w:val="0"/>
        <w:keepLines w:val="0"/>
        <w:widowControl w:val="0"/>
        <w:suppressLineNumbers w:val="0"/>
        <w:autoSpaceDE w:val="0"/>
        <w:autoSpaceDN/>
        <w:spacing w:line="525" w:lineRule="atLeast"/>
        <w:ind w:left="0" w:firstLine="645"/>
        <w:rPr>
          <w:rFonts w:hint="eastAsia" w:ascii="宋体" w:hAnsi="宋体" w:eastAsia="宋体" w:cs="宋体"/>
          <w:color w:val="auto"/>
          <w:kern w:val="0"/>
          <w:sz w:val="24"/>
          <w:szCs w:val="24"/>
          <w:highlight w:val="none"/>
        </w:rPr>
      </w:pPr>
      <w:r>
        <w:rPr>
          <w:rFonts w:hint="default" w:ascii="仿宋_GB2312" w:hAnsi="宋体" w:eastAsia="仿宋_GB2312" w:cs="仿宋_GB2312"/>
          <w:color w:val="auto"/>
          <w:kern w:val="0"/>
          <w:sz w:val="31"/>
          <w:szCs w:val="31"/>
          <w:highlight w:val="none"/>
        </w:rPr>
        <w:t xml:space="preserve">（二）项目年度预算绩效目标和绩效指标设定情况  </w:t>
      </w:r>
    </w:p>
    <w:p w14:paraId="275DFE69">
      <w:pPr>
        <w:pStyle w:val="6"/>
        <w:keepNext w:val="0"/>
        <w:keepLines w:val="0"/>
        <w:widowControl w:val="0"/>
        <w:suppressLineNumbers w:val="0"/>
        <w:autoSpaceDE w:val="0"/>
        <w:autoSpaceDN/>
        <w:spacing w:line="525" w:lineRule="atLeast"/>
        <w:ind w:left="0" w:firstLine="645"/>
        <w:rPr>
          <w:rFonts w:hint="eastAsia" w:ascii="宋体" w:hAnsi="宋体" w:eastAsia="宋体" w:cs="宋体"/>
          <w:color w:val="auto"/>
          <w:kern w:val="0"/>
          <w:sz w:val="24"/>
          <w:szCs w:val="24"/>
          <w:highlight w:val="none"/>
        </w:rPr>
      </w:pPr>
      <w:r>
        <w:rPr>
          <w:rFonts w:hint="default" w:ascii="仿宋_GB2312" w:hAnsi="宋体" w:eastAsia="仿宋_GB2312" w:cs="仿宋_GB2312"/>
          <w:color w:val="auto"/>
          <w:kern w:val="0"/>
          <w:sz w:val="31"/>
          <w:szCs w:val="31"/>
          <w:highlight w:val="none"/>
        </w:rPr>
        <w:t>（包括预期总目标及阶段性目标，衡量绩效目标实现程度的评价指标、标准等）</w:t>
      </w:r>
    </w:p>
    <w:p w14:paraId="48D5B58E">
      <w:pPr>
        <w:pStyle w:val="6"/>
        <w:keepNext w:val="0"/>
        <w:keepLines w:val="0"/>
        <w:widowControl w:val="0"/>
        <w:suppressLineNumbers w:val="0"/>
        <w:autoSpaceDE w:val="0"/>
        <w:autoSpaceDN/>
        <w:spacing w:line="525" w:lineRule="atLeast"/>
        <w:ind w:left="0" w:firstLine="645"/>
        <w:rPr>
          <w:rFonts w:hint="eastAsia" w:ascii="宋体" w:hAnsi="宋体" w:eastAsia="宋体" w:cs="宋体"/>
          <w:color w:val="auto"/>
          <w:kern w:val="0"/>
          <w:sz w:val="24"/>
          <w:szCs w:val="24"/>
          <w:highlight w:val="none"/>
        </w:rPr>
      </w:pPr>
      <w:r>
        <w:rPr>
          <w:rFonts w:hint="default" w:ascii="仿宋_GB2312" w:hAnsi="宋体" w:eastAsia="仿宋_GB2312" w:cs="仿宋_GB2312"/>
          <w:color w:val="auto"/>
          <w:kern w:val="0"/>
          <w:sz w:val="31"/>
          <w:szCs w:val="31"/>
          <w:highlight w:val="none"/>
        </w:rPr>
        <w:t>总体目标："国开发展基金以股权投资的形式，共计出资12.84亿元用于美兰机场二期扩建项目建设，</w:t>
      </w:r>
      <w:r>
        <w:rPr>
          <w:rFonts w:hint="eastAsia" w:ascii="仿宋" w:hAnsi="仿宋" w:eastAsia="仿宋" w:cs="仿宋"/>
          <w:color w:val="auto"/>
          <w:kern w:val="0"/>
          <w:sz w:val="32"/>
          <w:szCs w:val="32"/>
          <w:highlight w:val="none"/>
        </w:rPr>
        <w:t>按合同约定本息支付计划，完成2024年还本付息。国开发展基金以股权投资的形式，共计出资12.84亿元用于美兰机场二期扩建项目建设，按合同约定2020年至2035年逐年还本付息。根据财政要求，须于2028年以前还清该笔款项。目标1：按2026年还清该笔款项为目标，确保按省财政要求完成该笔款项清偿工作，并确保政府及企业公众信用。"</w:t>
      </w:r>
      <w:r>
        <w:rPr>
          <w:rFonts w:hint="default" w:ascii="仿宋_GB2312" w:hAnsi="宋体" w:eastAsia="仿宋_GB2312" w:cs="仿宋_GB2312"/>
          <w:color w:val="auto"/>
          <w:kern w:val="0"/>
          <w:sz w:val="31"/>
          <w:szCs w:val="31"/>
          <w:highlight w:val="none"/>
        </w:rPr>
        <w:t xml:space="preserve"> </w:t>
      </w:r>
    </w:p>
    <w:p w14:paraId="7B9BC337">
      <w:pPr>
        <w:pStyle w:val="6"/>
        <w:keepNext w:val="0"/>
        <w:keepLines w:val="0"/>
        <w:widowControl w:val="0"/>
        <w:suppressLineNumbers w:val="0"/>
        <w:autoSpaceDE w:val="0"/>
        <w:autoSpaceDN/>
        <w:spacing w:line="525" w:lineRule="atLeast"/>
        <w:ind w:left="0" w:firstLine="645"/>
        <w:rPr>
          <w:rFonts w:hint="default" w:ascii="仿宋_GB2312" w:hAnsi="宋体" w:eastAsia="仿宋_GB2312" w:cs="仿宋_GB2312"/>
          <w:color w:val="auto"/>
          <w:kern w:val="0"/>
          <w:sz w:val="31"/>
          <w:szCs w:val="31"/>
          <w:highlight w:val="none"/>
        </w:rPr>
      </w:pPr>
      <w:r>
        <w:rPr>
          <w:rFonts w:hint="default" w:ascii="仿宋_GB2312" w:hAnsi="宋体" w:eastAsia="仿宋_GB2312" w:cs="仿宋_GB2312"/>
          <w:color w:val="auto"/>
          <w:kern w:val="0"/>
          <w:sz w:val="31"/>
          <w:szCs w:val="31"/>
          <w:highlight w:val="none"/>
        </w:rPr>
        <w:t>2025年年度目标是"国开发展基金以股权投资的形式，共计出资12.84亿元用于美兰机场二期扩建项目建设，按合同约定本息支付计划，完成2023年还本付息。国开发展基金以股权投资的形式，共计出资12.84亿元用于美兰机场二期扩建项目建设，按合同约定2020年至2035年逐年还本付息。根据财政要求，须于2028年以前还清该笔款项。</w:t>
      </w:r>
    </w:p>
    <w:p w14:paraId="0E17230E">
      <w:pPr>
        <w:pStyle w:val="6"/>
        <w:keepNext w:val="0"/>
        <w:keepLines w:val="0"/>
        <w:widowControl w:val="0"/>
        <w:suppressLineNumbers w:val="0"/>
        <w:autoSpaceDE w:val="0"/>
        <w:autoSpaceDN/>
        <w:spacing w:line="525" w:lineRule="atLeast"/>
        <w:ind w:left="0" w:firstLine="645"/>
        <w:rPr>
          <w:rFonts w:hint="default" w:ascii="仿宋_GB2312" w:hAnsi="宋体" w:eastAsia="仿宋_GB2312" w:cs="仿宋_GB2312"/>
          <w:color w:val="auto"/>
          <w:kern w:val="0"/>
          <w:sz w:val="31"/>
          <w:szCs w:val="31"/>
          <w:highlight w:val="none"/>
        </w:rPr>
      </w:pPr>
      <w:r>
        <w:rPr>
          <w:rFonts w:hint="default" w:ascii="仿宋_GB2312" w:hAnsi="宋体" w:eastAsia="仿宋_GB2312" w:cs="仿宋_GB2312"/>
          <w:color w:val="auto"/>
          <w:kern w:val="0"/>
          <w:sz w:val="31"/>
          <w:szCs w:val="31"/>
          <w:highlight w:val="none"/>
        </w:rPr>
        <w:t>目标1：2025年提前偿还国开发展基金剩余全部回购本金74930万元，并结清全部投资收益</w:t>
      </w:r>
      <w:r>
        <w:rPr>
          <w:rFonts w:hint="eastAsia" w:ascii="仿宋" w:hAnsi="仿宋" w:eastAsia="仿宋" w:cs="仿宋"/>
          <w:color w:val="auto"/>
          <w:kern w:val="0"/>
          <w:sz w:val="32"/>
          <w:szCs w:val="32"/>
          <w:highlight w:val="none"/>
        </w:rPr>
        <w:t>（以银行实际扣款为准）</w:t>
      </w:r>
      <w:r>
        <w:rPr>
          <w:rFonts w:hint="default" w:ascii="仿宋_GB2312" w:hAnsi="宋体" w:eastAsia="仿宋_GB2312" w:cs="仿宋_GB2312"/>
          <w:color w:val="auto"/>
          <w:kern w:val="0"/>
          <w:sz w:val="31"/>
          <w:szCs w:val="31"/>
          <w:highlight w:val="none"/>
        </w:rPr>
        <w:t>，确保按省财政要求完成该笔款项清偿工作。</w:t>
      </w:r>
    </w:p>
    <w:p w14:paraId="580F2A10">
      <w:pPr>
        <w:pStyle w:val="6"/>
        <w:keepNext w:val="0"/>
        <w:keepLines w:val="0"/>
        <w:widowControl w:val="0"/>
        <w:suppressLineNumbers w:val="0"/>
        <w:autoSpaceDE w:val="0"/>
        <w:autoSpaceDN/>
        <w:spacing w:line="525" w:lineRule="atLeast"/>
        <w:ind w:left="0" w:firstLine="645"/>
        <w:rPr>
          <w:rFonts w:hint="eastAsia" w:ascii="宋体" w:hAnsi="宋体" w:eastAsia="宋体" w:cs="宋体"/>
          <w:color w:val="auto"/>
          <w:kern w:val="0"/>
          <w:sz w:val="24"/>
          <w:szCs w:val="24"/>
          <w:highlight w:val="none"/>
        </w:rPr>
      </w:pPr>
      <w:r>
        <w:rPr>
          <w:rFonts w:hint="default" w:ascii="仿宋_GB2312" w:hAnsi="宋体" w:eastAsia="仿宋_GB2312" w:cs="仿宋_GB2312"/>
          <w:color w:val="auto"/>
          <w:kern w:val="0"/>
          <w:sz w:val="31"/>
          <w:szCs w:val="31"/>
          <w:highlight w:val="none"/>
        </w:rPr>
        <w:t xml:space="preserve">目标2：及时完成2025年支付股权回购本金及投资收益工作，确保政府及企业公众信用。" </w:t>
      </w:r>
    </w:p>
    <w:p w14:paraId="432A2E62">
      <w:pPr>
        <w:pStyle w:val="6"/>
        <w:keepNext w:val="0"/>
        <w:keepLines w:val="0"/>
        <w:widowControl w:val="0"/>
        <w:suppressLineNumbers w:val="0"/>
        <w:autoSpaceDE w:val="0"/>
        <w:autoSpaceDN/>
        <w:spacing w:line="525" w:lineRule="atLeast"/>
        <w:ind w:left="0" w:firstLine="645"/>
        <w:rPr>
          <w:rFonts w:hint="eastAsia" w:ascii="宋体" w:hAnsi="宋体" w:eastAsia="仿宋_GB2312" w:cs="宋体"/>
          <w:color w:val="auto"/>
          <w:kern w:val="0"/>
          <w:sz w:val="24"/>
          <w:szCs w:val="24"/>
          <w:highlight w:val="none"/>
        </w:rPr>
      </w:pPr>
      <w:r>
        <w:rPr>
          <w:rFonts w:hint="default" w:ascii="仿宋_GB2312" w:hAnsi="宋体" w:eastAsia="仿宋_GB2312" w:cs="仿宋_GB2312"/>
          <w:color w:val="auto"/>
          <w:kern w:val="0"/>
          <w:sz w:val="31"/>
          <w:szCs w:val="31"/>
          <w:highlight w:val="none"/>
        </w:rPr>
        <w:t>当年年度目标完成情况：2025年3月21日，</w:t>
      </w:r>
      <w:r>
        <w:rPr>
          <w:rFonts w:hint="eastAsia" w:ascii="仿宋" w:hAnsi="仿宋" w:eastAsia="仿宋" w:cs="仿宋"/>
          <w:color w:val="auto"/>
          <w:kern w:val="0"/>
          <w:sz w:val="32"/>
          <w:szCs w:val="32"/>
          <w:highlight w:val="none"/>
        </w:rPr>
        <w:t>省机场投资公司已偿还</w:t>
      </w:r>
      <w:r>
        <w:rPr>
          <w:rFonts w:hint="default" w:ascii="仿宋_GB2312" w:hAnsi="宋体" w:eastAsia="仿宋_GB2312" w:cs="仿宋_GB2312"/>
          <w:color w:val="auto"/>
          <w:kern w:val="0"/>
          <w:sz w:val="31"/>
          <w:szCs w:val="31"/>
          <w:highlight w:val="none"/>
        </w:rPr>
        <w:t>国开发展基金剩余全部回购本金及结清全部投资收益，完成该笔款项清偿工作。</w:t>
      </w:r>
    </w:p>
    <w:p w14:paraId="762C5E2E">
      <w:pPr>
        <w:pStyle w:val="6"/>
        <w:keepNext w:val="0"/>
        <w:keepLines w:val="0"/>
        <w:widowControl w:val="0"/>
        <w:suppressLineNumbers w:val="0"/>
        <w:autoSpaceDE w:val="0"/>
        <w:autoSpaceDN/>
        <w:spacing w:line="525" w:lineRule="atLeast"/>
        <w:ind w:left="0" w:firstLine="645"/>
        <w:rPr>
          <w:rFonts w:hint="eastAsia" w:ascii="宋体" w:hAnsi="宋体" w:eastAsia="宋体" w:cs="宋体"/>
          <w:color w:val="auto"/>
          <w:kern w:val="0"/>
          <w:sz w:val="24"/>
          <w:szCs w:val="24"/>
          <w:highlight w:val="none"/>
        </w:rPr>
      </w:pPr>
      <w:r>
        <w:rPr>
          <w:rFonts w:hint="eastAsia" w:ascii="黑体" w:hAnsi="宋体" w:eastAsia="黑体" w:cs="黑体"/>
          <w:color w:val="auto"/>
          <w:kern w:val="0"/>
          <w:sz w:val="31"/>
          <w:szCs w:val="31"/>
          <w:highlight w:val="none"/>
        </w:rPr>
        <w:t>二、项目决策及资金使用管理情况</w:t>
      </w:r>
    </w:p>
    <w:p w14:paraId="0EEC3ECA">
      <w:pPr>
        <w:pStyle w:val="6"/>
        <w:keepNext w:val="0"/>
        <w:keepLines w:val="0"/>
        <w:widowControl w:val="0"/>
        <w:suppressLineNumbers w:val="0"/>
        <w:autoSpaceDE w:val="0"/>
        <w:autoSpaceDN/>
        <w:spacing w:line="525" w:lineRule="atLeast"/>
        <w:ind w:left="0" w:firstLine="645"/>
        <w:rPr>
          <w:rFonts w:hint="eastAsia" w:ascii="宋体" w:hAnsi="宋体" w:eastAsia="宋体" w:cs="宋体"/>
          <w:color w:val="auto"/>
          <w:kern w:val="0"/>
          <w:sz w:val="24"/>
          <w:szCs w:val="24"/>
          <w:highlight w:val="none"/>
        </w:rPr>
      </w:pPr>
      <w:r>
        <w:rPr>
          <w:rFonts w:hint="default" w:ascii="仿宋_GB2312" w:hAnsi="宋体" w:eastAsia="仿宋_GB2312" w:cs="仿宋_GB2312"/>
          <w:color w:val="auto"/>
          <w:kern w:val="0"/>
          <w:sz w:val="31"/>
          <w:szCs w:val="31"/>
          <w:highlight w:val="none"/>
        </w:rPr>
        <w:t>（一）项目决策情况（包括决策过程和结果）</w:t>
      </w:r>
    </w:p>
    <w:p w14:paraId="1A1C58D0">
      <w:pPr>
        <w:keepNext w:val="0"/>
        <w:keepLines w:val="0"/>
        <w:widowControl w:val="0"/>
        <w:suppressLineNumbers w:val="0"/>
        <w:autoSpaceDE w:val="0"/>
        <w:autoSpaceDN/>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2009年1月，民航局与海南省人民政府联合批复了《关于海口美兰国际机场总体规划的批复》（民航函〔2009〕118号）；</w:t>
      </w:r>
    </w:p>
    <w:p w14:paraId="2526C66C">
      <w:pPr>
        <w:keepNext w:val="0"/>
        <w:keepLines w:val="0"/>
        <w:widowControl w:val="0"/>
        <w:suppressLineNumbers w:val="0"/>
        <w:autoSpaceDE w:val="0"/>
        <w:autoSpaceDN/>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2012年3月，国家发展和改革委员会批复了《关于海南省海口美兰国际机场二期扩建工程项目建议书的批复》（发改基础〔2012〕546号）；</w:t>
      </w:r>
    </w:p>
    <w:p w14:paraId="76F599D3">
      <w:pPr>
        <w:keepNext w:val="0"/>
        <w:keepLines w:val="0"/>
        <w:widowControl w:val="0"/>
        <w:suppressLineNumbers w:val="0"/>
        <w:autoSpaceDE w:val="0"/>
        <w:autoSpaceDN/>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2015年6月，国家发展和改革委员会批复了《关于海口美兰国际机场二期扩建工程可行性研究报告的批复》（发改基础〔2015〕1215号）；</w:t>
      </w:r>
    </w:p>
    <w:p w14:paraId="4E74CE7C">
      <w:pPr>
        <w:keepNext w:val="0"/>
        <w:keepLines w:val="0"/>
        <w:widowControl w:val="0"/>
        <w:suppressLineNumbers w:val="0"/>
        <w:autoSpaceDE w:val="0"/>
        <w:autoSpaceDN/>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2016年2月，民航中南地区管理局与海南省发展和改革委员会联合批复了《关于海口美兰国际机场二期扩建飞行区工程初步设计的批复》（民航中南局〔2016〕31号）；</w:t>
      </w:r>
    </w:p>
    <w:p w14:paraId="71C540AB">
      <w:pPr>
        <w:keepNext w:val="0"/>
        <w:keepLines w:val="0"/>
        <w:widowControl w:val="0"/>
        <w:suppressLineNumbers w:val="0"/>
        <w:autoSpaceDE w:val="0"/>
        <w:autoSpaceDN/>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2016年10月，海南省发展和改革委员会与民航中南地区管理局联合批复了《关于海口美兰国际机场扩建工程航站楼及配套项目和供油工程初步设计及概算的批复》（琼发改审批〔2016〕2429号）；</w:t>
      </w:r>
    </w:p>
    <w:p w14:paraId="0496A504">
      <w:pPr>
        <w:keepNext w:val="0"/>
        <w:keepLines w:val="0"/>
        <w:widowControl w:val="0"/>
        <w:suppressLineNumbers w:val="0"/>
        <w:autoSpaceDE w:val="0"/>
        <w:autoSpaceDN/>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2018年2月，民航中南地区管理局与海南省发展和改革委员会联合批复了《关于海口美兰国际机场二期扩建工程重大设计变更及概算调整批复》（民航中南局〔2018〕54号）。</w:t>
      </w:r>
    </w:p>
    <w:p w14:paraId="4A18244D">
      <w:pPr>
        <w:keepNext w:val="0"/>
        <w:keepLines w:val="0"/>
        <w:widowControl w:val="0"/>
        <w:suppressLineNumbers w:val="0"/>
        <w:autoSpaceDE w:val="0"/>
        <w:autoSpaceDN/>
        <w:ind w:left="0" w:firstLine="640" w:firstLineChars="200"/>
        <w:rPr>
          <w:rFonts w:hint="default" w:ascii="仿宋_GB2312" w:hAnsi="宋体" w:eastAsia="仿宋_GB2312" w:cs="仿宋_GB2312"/>
          <w:color w:val="auto"/>
          <w:kern w:val="0"/>
          <w:sz w:val="31"/>
          <w:szCs w:val="31"/>
          <w:highlight w:val="none"/>
        </w:rPr>
      </w:pPr>
      <w:r>
        <w:rPr>
          <w:rFonts w:hint="eastAsia" w:ascii="仿宋" w:hAnsi="仿宋" w:eastAsia="仿宋" w:cs="仿宋"/>
          <w:color w:val="auto"/>
          <w:kern w:val="0"/>
          <w:sz w:val="32"/>
          <w:szCs w:val="32"/>
          <w:highlight w:val="none"/>
        </w:rPr>
        <w:t>项目结果目标是将美兰机场建设成为区域枢纽机场；立足海岛，对接珠三角并辐射南部沿海地区，连接三沙（南沙、中沙和西沙）的空中桥梁；国际旅游岛的门户机场；未来通往东南亚地区的中转机场。</w:t>
      </w:r>
    </w:p>
    <w:p w14:paraId="6F9D86FC">
      <w:pPr>
        <w:pStyle w:val="6"/>
        <w:keepNext w:val="0"/>
        <w:keepLines w:val="0"/>
        <w:widowControl w:val="0"/>
        <w:suppressLineNumbers w:val="0"/>
        <w:autoSpaceDE w:val="0"/>
        <w:autoSpaceDN/>
        <w:spacing w:line="525" w:lineRule="atLeast"/>
        <w:ind w:left="0" w:firstLine="645"/>
        <w:rPr>
          <w:rFonts w:hint="eastAsia" w:ascii="宋体" w:hAnsi="宋体" w:eastAsia="宋体" w:cs="宋体"/>
          <w:color w:val="auto"/>
          <w:kern w:val="0"/>
          <w:sz w:val="24"/>
          <w:szCs w:val="24"/>
          <w:highlight w:val="none"/>
        </w:rPr>
      </w:pPr>
      <w:r>
        <w:rPr>
          <w:rFonts w:hint="default" w:ascii="仿宋_GB2312" w:hAnsi="宋体" w:eastAsia="仿宋_GB2312" w:cs="仿宋_GB2312"/>
          <w:color w:val="auto"/>
          <w:kern w:val="0"/>
          <w:sz w:val="31"/>
          <w:szCs w:val="31"/>
          <w:highlight w:val="none"/>
        </w:rPr>
        <w:t>（二）项目资金（包括财政资金、自筹资金等）安排落实、总投入等情况</w:t>
      </w:r>
    </w:p>
    <w:p w14:paraId="6CC55FBC">
      <w:pPr>
        <w:pStyle w:val="6"/>
        <w:keepNext w:val="0"/>
        <w:keepLines w:val="0"/>
        <w:widowControl w:val="0"/>
        <w:suppressLineNumbers w:val="0"/>
        <w:autoSpaceDE w:val="0"/>
        <w:autoSpaceDN/>
        <w:spacing w:line="525" w:lineRule="atLeast"/>
        <w:ind w:left="0" w:firstLine="645"/>
        <w:rPr>
          <w:rFonts w:hint="eastAsia" w:ascii="宋体" w:hAnsi="宋体" w:eastAsia="宋体" w:cs="宋体"/>
          <w:color w:val="auto"/>
          <w:kern w:val="0"/>
          <w:sz w:val="24"/>
          <w:szCs w:val="24"/>
          <w:highlight w:val="none"/>
        </w:rPr>
      </w:pPr>
      <w:r>
        <w:rPr>
          <w:rFonts w:hint="default" w:ascii="仿宋_GB2312" w:hAnsi="宋体" w:eastAsia="仿宋_GB2312" w:cs="仿宋_GB2312"/>
          <w:color w:val="auto"/>
          <w:kern w:val="0"/>
          <w:sz w:val="31"/>
          <w:szCs w:val="31"/>
          <w:highlight w:val="none"/>
        </w:rPr>
        <w:t>预算情况如下：</w:t>
      </w:r>
    </w:p>
    <w:p w14:paraId="442C4172">
      <w:pPr>
        <w:pStyle w:val="6"/>
        <w:keepNext w:val="0"/>
        <w:keepLines w:val="0"/>
        <w:widowControl w:val="0"/>
        <w:suppressLineNumbers w:val="0"/>
        <w:autoSpaceDE w:val="0"/>
        <w:autoSpaceDN/>
        <w:spacing w:line="525" w:lineRule="atLeast"/>
        <w:ind w:left="0" w:firstLine="165"/>
        <w:rPr>
          <w:rFonts w:hint="eastAsia" w:ascii="宋体" w:hAnsi="宋体" w:eastAsia="宋体" w:cs="宋体"/>
          <w:color w:val="auto"/>
          <w:kern w:val="0"/>
          <w:sz w:val="24"/>
          <w:szCs w:val="24"/>
          <w:highlight w:val="none"/>
        </w:rPr>
      </w:pPr>
      <w:r>
        <w:rPr>
          <w:rFonts w:hint="default" w:ascii="楷体_GB2312" w:hAnsi="宋体" w:eastAsia="楷体_GB2312" w:cs="楷体_GB2312"/>
          <w:color w:val="auto"/>
          <w:kern w:val="0"/>
          <w:sz w:val="31"/>
          <w:szCs w:val="31"/>
          <w:highlight w:val="none"/>
        </w:rPr>
        <w:t>资金总额-年初预算数9300000</w:t>
      </w:r>
      <w:r>
        <w:rPr>
          <w:rFonts w:hint="default" w:ascii="仿宋_GB2312" w:hAnsi="宋体" w:eastAsia="仿宋_GB2312" w:cs="仿宋_GB2312"/>
          <w:color w:val="auto"/>
          <w:kern w:val="0"/>
          <w:sz w:val="31"/>
          <w:szCs w:val="31"/>
          <w:highlight w:val="none"/>
        </w:rPr>
        <w:t>元，</w:t>
      </w:r>
      <w:r>
        <w:rPr>
          <w:rFonts w:hint="default" w:ascii="楷体_GB2312" w:hAnsi="宋体" w:eastAsia="楷体_GB2312" w:cs="楷体_GB2312"/>
          <w:color w:val="auto"/>
          <w:kern w:val="0"/>
          <w:sz w:val="31"/>
          <w:szCs w:val="31"/>
          <w:highlight w:val="none"/>
        </w:rPr>
        <w:t>资金总额-全年预算数</w:t>
      </w:r>
      <w:r>
        <w:rPr>
          <w:rFonts w:hint="eastAsia" w:ascii="宋体" w:hAnsi="宋体" w:eastAsia="宋体" w:cs="宋体"/>
          <w:color w:val="auto"/>
          <w:kern w:val="0"/>
          <w:sz w:val="24"/>
          <w:szCs w:val="24"/>
          <w:highlight w:val="none"/>
        </w:rPr>
        <w:t>753965900</w:t>
      </w:r>
      <w:r>
        <w:rPr>
          <w:rFonts w:hint="default" w:ascii="仿宋_GB2312" w:hAnsi="宋体" w:eastAsia="仿宋_GB2312" w:cs="仿宋_GB2312"/>
          <w:color w:val="auto"/>
          <w:kern w:val="0"/>
          <w:sz w:val="31"/>
          <w:szCs w:val="31"/>
          <w:highlight w:val="none"/>
        </w:rPr>
        <w:t>元，</w:t>
      </w:r>
    </w:p>
    <w:p w14:paraId="6E84C690">
      <w:pPr>
        <w:pStyle w:val="6"/>
        <w:keepNext w:val="0"/>
        <w:keepLines w:val="0"/>
        <w:widowControl w:val="0"/>
        <w:suppressLineNumbers w:val="0"/>
        <w:autoSpaceDE w:val="0"/>
        <w:autoSpaceDN/>
        <w:spacing w:line="525" w:lineRule="atLeast"/>
        <w:ind w:left="0" w:firstLine="165"/>
        <w:rPr>
          <w:rFonts w:hint="eastAsia" w:ascii="宋体" w:hAnsi="宋体" w:eastAsia="宋体" w:cs="宋体"/>
          <w:color w:val="auto"/>
          <w:kern w:val="0"/>
          <w:sz w:val="24"/>
          <w:szCs w:val="24"/>
          <w:highlight w:val="none"/>
        </w:rPr>
      </w:pPr>
      <w:r>
        <w:rPr>
          <w:rFonts w:hint="default" w:ascii="楷体_GB2312" w:hAnsi="宋体" w:eastAsia="楷体_GB2312" w:cs="楷体_GB2312"/>
          <w:color w:val="auto"/>
          <w:kern w:val="0"/>
          <w:sz w:val="31"/>
          <w:szCs w:val="31"/>
          <w:highlight w:val="none"/>
        </w:rPr>
        <w:t>财政资金-年初预算数</w:t>
      </w:r>
      <w:r>
        <w:rPr>
          <w:rFonts w:hint="eastAsia" w:ascii="宋体" w:hAnsi="宋体" w:eastAsia="宋体" w:cs="宋体"/>
          <w:color w:val="auto"/>
          <w:kern w:val="0"/>
          <w:sz w:val="24"/>
          <w:szCs w:val="24"/>
          <w:highlight w:val="none"/>
        </w:rPr>
        <w:t>9300000</w:t>
      </w:r>
      <w:r>
        <w:rPr>
          <w:rFonts w:hint="default" w:ascii="楷体_GB2312" w:hAnsi="宋体" w:eastAsia="楷体_GB2312" w:cs="楷体_GB2312"/>
          <w:color w:val="auto"/>
          <w:kern w:val="0"/>
          <w:sz w:val="31"/>
          <w:szCs w:val="31"/>
          <w:highlight w:val="none"/>
        </w:rPr>
        <w:t>元财政资金-全年预算数</w:t>
      </w:r>
      <w:r>
        <w:rPr>
          <w:rFonts w:hint="eastAsia" w:ascii="宋体" w:hAnsi="宋体" w:eastAsia="宋体" w:cs="宋体"/>
          <w:color w:val="auto"/>
          <w:kern w:val="0"/>
          <w:sz w:val="24"/>
          <w:szCs w:val="24"/>
          <w:highlight w:val="none"/>
        </w:rPr>
        <w:t>753965900</w:t>
      </w:r>
      <w:r>
        <w:rPr>
          <w:rFonts w:hint="default" w:ascii="仿宋_GB2312" w:hAnsi="宋体" w:eastAsia="仿宋_GB2312" w:cs="仿宋_GB2312"/>
          <w:color w:val="auto"/>
          <w:kern w:val="0"/>
          <w:sz w:val="31"/>
          <w:szCs w:val="31"/>
          <w:highlight w:val="none"/>
        </w:rPr>
        <w:t>元，</w:t>
      </w:r>
    </w:p>
    <w:p w14:paraId="466ADD30">
      <w:pPr>
        <w:pStyle w:val="6"/>
        <w:keepNext w:val="0"/>
        <w:keepLines w:val="0"/>
        <w:widowControl w:val="0"/>
        <w:suppressLineNumbers w:val="0"/>
        <w:autoSpaceDE w:val="0"/>
        <w:autoSpaceDN/>
        <w:spacing w:line="525" w:lineRule="atLeast"/>
        <w:ind w:left="0" w:firstLine="165"/>
        <w:rPr>
          <w:rFonts w:hint="eastAsia" w:ascii="宋体" w:hAnsi="宋体" w:eastAsia="宋体" w:cs="宋体"/>
          <w:color w:val="auto"/>
          <w:kern w:val="0"/>
          <w:sz w:val="24"/>
          <w:szCs w:val="24"/>
          <w:highlight w:val="none"/>
        </w:rPr>
      </w:pPr>
      <w:r>
        <w:rPr>
          <w:rFonts w:hint="default" w:ascii="楷体_GB2312" w:hAnsi="宋体" w:eastAsia="楷体_GB2312" w:cs="楷体_GB2312"/>
          <w:color w:val="auto"/>
          <w:kern w:val="0"/>
          <w:sz w:val="31"/>
          <w:szCs w:val="31"/>
          <w:highlight w:val="none"/>
        </w:rPr>
        <w:t>专户-年初预算数0</w:t>
      </w:r>
      <w:r>
        <w:rPr>
          <w:rFonts w:hint="default" w:ascii="仿宋_GB2312" w:hAnsi="宋体" w:eastAsia="仿宋_GB2312" w:cs="仿宋_GB2312"/>
          <w:color w:val="auto"/>
          <w:kern w:val="0"/>
          <w:sz w:val="31"/>
          <w:szCs w:val="31"/>
          <w:highlight w:val="none"/>
        </w:rPr>
        <w:t>元，</w:t>
      </w:r>
      <w:r>
        <w:rPr>
          <w:rFonts w:hint="default" w:ascii="楷体_GB2312" w:hAnsi="宋体" w:eastAsia="楷体_GB2312" w:cs="楷体_GB2312"/>
          <w:color w:val="auto"/>
          <w:kern w:val="0"/>
          <w:sz w:val="31"/>
          <w:szCs w:val="31"/>
          <w:highlight w:val="none"/>
        </w:rPr>
        <w:t>专户全年预算数0元，</w:t>
      </w:r>
    </w:p>
    <w:p w14:paraId="4306F268">
      <w:pPr>
        <w:pStyle w:val="6"/>
        <w:keepNext w:val="0"/>
        <w:keepLines w:val="0"/>
        <w:widowControl w:val="0"/>
        <w:suppressLineNumbers w:val="0"/>
        <w:autoSpaceDE w:val="0"/>
        <w:autoSpaceDN/>
        <w:spacing w:line="525" w:lineRule="atLeast"/>
        <w:ind w:left="0" w:firstLine="165"/>
        <w:rPr>
          <w:rFonts w:hint="eastAsia" w:ascii="宋体" w:hAnsi="宋体" w:eastAsia="宋体" w:cs="宋体"/>
          <w:color w:val="auto"/>
          <w:kern w:val="0"/>
          <w:sz w:val="24"/>
          <w:szCs w:val="24"/>
          <w:highlight w:val="none"/>
        </w:rPr>
      </w:pPr>
      <w:r>
        <w:rPr>
          <w:rFonts w:hint="default" w:ascii="楷体_GB2312" w:hAnsi="宋体" w:eastAsia="楷体_GB2312" w:cs="楷体_GB2312"/>
          <w:color w:val="auto"/>
          <w:kern w:val="0"/>
          <w:sz w:val="31"/>
          <w:szCs w:val="31"/>
          <w:highlight w:val="none"/>
        </w:rPr>
        <w:t>单位年初预算数0元，单位全年预算数0</w:t>
      </w:r>
      <w:r>
        <w:rPr>
          <w:rFonts w:hint="default" w:ascii="仿宋_GB2312" w:hAnsi="宋体" w:eastAsia="仿宋_GB2312" w:cs="仿宋_GB2312"/>
          <w:color w:val="auto"/>
          <w:kern w:val="0"/>
          <w:sz w:val="31"/>
          <w:szCs w:val="31"/>
          <w:highlight w:val="none"/>
        </w:rPr>
        <w:t>元。</w:t>
      </w:r>
    </w:p>
    <w:p w14:paraId="7C069CCB">
      <w:pPr>
        <w:pStyle w:val="6"/>
        <w:keepNext w:val="0"/>
        <w:keepLines w:val="0"/>
        <w:widowControl w:val="0"/>
        <w:suppressLineNumbers w:val="0"/>
        <w:autoSpaceDE w:val="0"/>
        <w:autoSpaceDN/>
        <w:spacing w:line="525" w:lineRule="atLeast"/>
        <w:ind w:left="0" w:firstLine="645"/>
        <w:rPr>
          <w:rFonts w:hint="eastAsia" w:ascii="宋体" w:hAnsi="宋体" w:eastAsia="宋体" w:cs="宋体"/>
          <w:color w:val="auto"/>
          <w:kern w:val="0"/>
          <w:sz w:val="24"/>
          <w:szCs w:val="24"/>
          <w:highlight w:val="none"/>
        </w:rPr>
      </w:pPr>
      <w:r>
        <w:rPr>
          <w:rFonts w:hint="default" w:ascii="仿宋_GB2312" w:hAnsi="宋体" w:eastAsia="仿宋_GB2312" w:cs="仿宋_GB2312"/>
          <w:color w:val="auto"/>
          <w:kern w:val="0"/>
          <w:sz w:val="31"/>
          <w:szCs w:val="31"/>
          <w:highlight w:val="none"/>
        </w:rPr>
        <w:t>（三）项目资金（主要是指财政资金）实际使用情况</w:t>
      </w:r>
    </w:p>
    <w:p w14:paraId="058FCEFF">
      <w:pPr>
        <w:pStyle w:val="6"/>
        <w:keepNext w:val="0"/>
        <w:keepLines w:val="0"/>
        <w:widowControl w:val="0"/>
        <w:suppressLineNumbers w:val="0"/>
        <w:autoSpaceDE w:val="0"/>
        <w:autoSpaceDN/>
        <w:spacing w:line="525" w:lineRule="atLeast"/>
        <w:ind w:left="0" w:firstLine="645"/>
        <w:rPr>
          <w:rFonts w:hint="eastAsia" w:ascii="宋体" w:hAnsi="宋体" w:eastAsia="宋体" w:cs="宋体"/>
          <w:color w:val="auto"/>
          <w:kern w:val="0"/>
          <w:sz w:val="24"/>
          <w:szCs w:val="24"/>
          <w:highlight w:val="none"/>
        </w:rPr>
      </w:pPr>
      <w:r>
        <w:rPr>
          <w:rFonts w:hint="default" w:ascii="仿宋_GB2312" w:hAnsi="宋体" w:eastAsia="仿宋_GB2312" w:cs="仿宋_GB2312"/>
          <w:color w:val="auto"/>
          <w:kern w:val="0"/>
          <w:sz w:val="31"/>
          <w:szCs w:val="31"/>
          <w:highlight w:val="none"/>
        </w:rPr>
        <w:t>资金执行情况如下：</w:t>
      </w:r>
    </w:p>
    <w:p w14:paraId="29F21839">
      <w:pPr>
        <w:pStyle w:val="6"/>
        <w:keepNext w:val="0"/>
        <w:keepLines w:val="0"/>
        <w:widowControl w:val="0"/>
        <w:suppressLineNumbers w:val="0"/>
        <w:autoSpaceDE w:val="0"/>
        <w:autoSpaceDN/>
        <w:spacing w:line="525" w:lineRule="atLeast"/>
        <w:ind w:left="0" w:firstLine="165"/>
        <w:rPr>
          <w:rFonts w:hint="eastAsia" w:ascii="宋体" w:hAnsi="宋体" w:eastAsia="宋体" w:cs="宋体"/>
          <w:color w:val="auto"/>
          <w:kern w:val="0"/>
          <w:sz w:val="24"/>
          <w:szCs w:val="24"/>
          <w:highlight w:val="none"/>
        </w:rPr>
      </w:pPr>
      <w:r>
        <w:rPr>
          <w:rFonts w:hint="default" w:ascii="楷体_GB2312" w:hAnsi="宋体" w:eastAsia="楷体_GB2312" w:cs="楷体_GB2312"/>
          <w:color w:val="auto"/>
          <w:kern w:val="0"/>
          <w:sz w:val="31"/>
          <w:szCs w:val="31"/>
          <w:highlight w:val="none"/>
        </w:rPr>
        <w:t>资金总额-全年执行数753965885元，资金总额-执行率</w:t>
      </w:r>
      <w:r>
        <w:rPr>
          <w:rFonts w:hint="eastAsia" w:ascii="宋体" w:hAnsi="宋体" w:eastAsia="宋体" w:cs="宋体"/>
          <w:color w:val="auto"/>
          <w:kern w:val="0"/>
          <w:sz w:val="24"/>
          <w:szCs w:val="24"/>
          <w:highlight w:val="none"/>
        </w:rPr>
        <w:t>100.00%</w:t>
      </w:r>
      <w:r>
        <w:rPr>
          <w:rFonts w:hint="default" w:ascii="楷体_GB2312" w:hAnsi="宋体" w:eastAsia="楷体_GB2312" w:cs="楷体_GB2312"/>
          <w:color w:val="auto"/>
          <w:kern w:val="0"/>
          <w:sz w:val="31"/>
          <w:szCs w:val="31"/>
          <w:highlight w:val="none"/>
        </w:rPr>
        <w:t>元</w:t>
      </w:r>
    </w:p>
    <w:p w14:paraId="7F110CB2">
      <w:pPr>
        <w:pStyle w:val="6"/>
        <w:keepNext w:val="0"/>
        <w:keepLines w:val="0"/>
        <w:widowControl w:val="0"/>
        <w:suppressLineNumbers w:val="0"/>
        <w:autoSpaceDE w:val="0"/>
        <w:autoSpaceDN/>
        <w:spacing w:line="525" w:lineRule="atLeast"/>
        <w:ind w:left="0" w:firstLine="165"/>
        <w:rPr>
          <w:rFonts w:hint="eastAsia" w:ascii="宋体" w:hAnsi="宋体" w:eastAsia="宋体" w:cs="宋体"/>
          <w:color w:val="auto"/>
          <w:kern w:val="0"/>
          <w:sz w:val="24"/>
          <w:szCs w:val="24"/>
          <w:highlight w:val="none"/>
        </w:rPr>
      </w:pPr>
      <w:r>
        <w:rPr>
          <w:rFonts w:hint="default" w:ascii="楷体_GB2312" w:hAnsi="宋体" w:eastAsia="楷体_GB2312" w:cs="楷体_GB2312"/>
          <w:color w:val="auto"/>
          <w:kern w:val="0"/>
          <w:sz w:val="31"/>
          <w:szCs w:val="31"/>
          <w:highlight w:val="none"/>
        </w:rPr>
        <w:t>其中：</w:t>
      </w:r>
    </w:p>
    <w:p w14:paraId="62F3BA33">
      <w:pPr>
        <w:pStyle w:val="6"/>
        <w:keepNext w:val="0"/>
        <w:keepLines w:val="0"/>
        <w:widowControl w:val="0"/>
        <w:suppressLineNumbers w:val="0"/>
        <w:autoSpaceDE w:val="0"/>
        <w:autoSpaceDN/>
        <w:spacing w:line="525" w:lineRule="atLeast"/>
        <w:ind w:left="0" w:firstLine="165"/>
        <w:rPr>
          <w:rFonts w:hint="eastAsia" w:ascii="宋体" w:hAnsi="宋体" w:eastAsia="宋体" w:cs="宋体"/>
          <w:color w:val="auto"/>
          <w:kern w:val="0"/>
          <w:sz w:val="24"/>
          <w:szCs w:val="24"/>
          <w:highlight w:val="none"/>
        </w:rPr>
      </w:pPr>
      <w:r>
        <w:rPr>
          <w:rFonts w:hint="default" w:ascii="楷体_GB2312" w:hAnsi="宋体" w:eastAsia="楷体_GB2312" w:cs="楷体_GB2312"/>
          <w:color w:val="auto"/>
          <w:kern w:val="0"/>
          <w:sz w:val="31"/>
          <w:szCs w:val="31"/>
          <w:highlight w:val="none"/>
        </w:rPr>
        <w:t>财政资金-全年执行数753965885元，财政资金-执行率</w:t>
      </w:r>
      <w:r>
        <w:rPr>
          <w:rFonts w:hint="eastAsia" w:ascii="宋体" w:hAnsi="宋体" w:eastAsia="宋体" w:cs="宋体"/>
          <w:color w:val="auto"/>
          <w:kern w:val="0"/>
          <w:sz w:val="24"/>
          <w:szCs w:val="24"/>
          <w:highlight w:val="none"/>
        </w:rPr>
        <w:t>100.00%</w:t>
      </w:r>
    </w:p>
    <w:p w14:paraId="7A61BA04">
      <w:pPr>
        <w:pStyle w:val="6"/>
        <w:keepNext w:val="0"/>
        <w:keepLines w:val="0"/>
        <w:widowControl w:val="0"/>
        <w:suppressLineNumbers w:val="0"/>
        <w:autoSpaceDE w:val="0"/>
        <w:autoSpaceDN/>
        <w:spacing w:line="525" w:lineRule="atLeast"/>
        <w:ind w:left="0" w:firstLine="165"/>
        <w:rPr>
          <w:rFonts w:hint="eastAsia" w:ascii="宋体" w:hAnsi="宋体" w:eastAsia="宋体" w:cs="宋体"/>
          <w:color w:val="auto"/>
          <w:kern w:val="0"/>
          <w:sz w:val="24"/>
          <w:szCs w:val="24"/>
          <w:highlight w:val="none"/>
        </w:rPr>
      </w:pPr>
      <w:r>
        <w:rPr>
          <w:rFonts w:hint="default" w:ascii="楷体_GB2312" w:hAnsi="宋体" w:eastAsia="楷体_GB2312" w:cs="楷体_GB2312"/>
          <w:color w:val="auto"/>
          <w:kern w:val="0"/>
          <w:sz w:val="31"/>
          <w:szCs w:val="31"/>
          <w:highlight w:val="none"/>
        </w:rPr>
        <w:t>专户全年执行数0元，专户-执行率</w:t>
      </w:r>
      <w:r>
        <w:rPr>
          <w:rFonts w:hint="eastAsia" w:ascii="宋体" w:hAnsi="宋体" w:eastAsia="宋体" w:cs="宋体"/>
          <w:color w:val="auto"/>
          <w:kern w:val="0"/>
          <w:sz w:val="24"/>
          <w:szCs w:val="24"/>
          <w:highlight w:val="none"/>
        </w:rPr>
        <w:t>0</w:t>
      </w:r>
    </w:p>
    <w:p w14:paraId="5280BE97">
      <w:pPr>
        <w:pStyle w:val="6"/>
        <w:keepNext w:val="0"/>
        <w:keepLines w:val="0"/>
        <w:widowControl w:val="0"/>
        <w:suppressLineNumbers w:val="0"/>
        <w:autoSpaceDE w:val="0"/>
        <w:autoSpaceDN/>
        <w:spacing w:line="525" w:lineRule="atLeast"/>
        <w:ind w:left="0" w:firstLine="165"/>
        <w:rPr>
          <w:rFonts w:hint="eastAsia" w:ascii="宋体" w:hAnsi="宋体" w:eastAsia="宋体" w:cs="宋体"/>
          <w:color w:val="auto"/>
          <w:kern w:val="0"/>
          <w:sz w:val="24"/>
          <w:szCs w:val="24"/>
          <w:highlight w:val="none"/>
        </w:rPr>
      </w:pPr>
      <w:r>
        <w:rPr>
          <w:rFonts w:hint="default" w:ascii="楷体_GB2312" w:hAnsi="宋体" w:eastAsia="楷体_GB2312" w:cs="楷体_GB2312"/>
          <w:color w:val="auto"/>
          <w:kern w:val="0"/>
          <w:sz w:val="31"/>
          <w:szCs w:val="31"/>
          <w:highlight w:val="none"/>
        </w:rPr>
        <w:t>单位全年执行数0元，单位全年执行率</w:t>
      </w:r>
      <w:r>
        <w:rPr>
          <w:rFonts w:hint="eastAsia" w:ascii="宋体" w:hAnsi="宋体" w:eastAsia="宋体" w:cs="宋体"/>
          <w:color w:val="auto"/>
          <w:kern w:val="0"/>
          <w:sz w:val="24"/>
          <w:szCs w:val="24"/>
          <w:highlight w:val="none"/>
        </w:rPr>
        <w:t>0.00%</w:t>
      </w:r>
    </w:p>
    <w:p w14:paraId="39D8988A">
      <w:pPr>
        <w:pStyle w:val="6"/>
        <w:keepNext w:val="0"/>
        <w:keepLines w:val="0"/>
        <w:widowControl w:val="0"/>
        <w:suppressLineNumbers w:val="0"/>
        <w:autoSpaceDE w:val="0"/>
        <w:autoSpaceDN/>
        <w:spacing w:line="525" w:lineRule="atLeast"/>
        <w:ind w:left="0" w:firstLine="645"/>
        <w:rPr>
          <w:rFonts w:hint="eastAsia" w:ascii="宋体" w:hAnsi="宋体" w:eastAsia="宋体" w:cs="宋体"/>
          <w:color w:val="auto"/>
          <w:kern w:val="0"/>
          <w:sz w:val="24"/>
          <w:szCs w:val="24"/>
          <w:highlight w:val="none"/>
        </w:rPr>
      </w:pPr>
      <w:r>
        <w:rPr>
          <w:rFonts w:hint="default" w:ascii="仿宋_GB2312" w:hAnsi="宋体" w:eastAsia="仿宋_GB2312" w:cs="仿宋_GB2312"/>
          <w:color w:val="auto"/>
          <w:kern w:val="0"/>
          <w:sz w:val="31"/>
          <w:szCs w:val="31"/>
          <w:highlight w:val="none"/>
        </w:rPr>
        <w:t>（四）项目资金管理情况（包括管理制度、办法的制订及执行情况）</w:t>
      </w:r>
    </w:p>
    <w:p w14:paraId="005FDEF9">
      <w:pPr>
        <w:pStyle w:val="6"/>
        <w:keepNext w:val="0"/>
        <w:keepLines w:val="0"/>
        <w:widowControl w:val="0"/>
        <w:suppressLineNumbers w:val="0"/>
        <w:autoSpaceDE w:val="0"/>
        <w:autoSpaceDN/>
        <w:spacing w:line="525" w:lineRule="atLeast"/>
        <w:ind w:left="0" w:firstLine="645"/>
        <w:rPr>
          <w:rFonts w:hint="eastAsia" w:ascii="宋体" w:hAnsi="宋体" w:eastAsia="宋体" w:cs="宋体"/>
          <w:color w:val="auto"/>
          <w:kern w:val="0"/>
          <w:sz w:val="24"/>
          <w:szCs w:val="24"/>
          <w:highlight w:val="none"/>
        </w:rPr>
      </w:pPr>
      <w:r>
        <w:rPr>
          <w:rFonts w:hint="eastAsia" w:ascii="黑体" w:hAnsi="宋体" w:eastAsia="黑体" w:cs="黑体"/>
          <w:color w:val="auto"/>
          <w:kern w:val="0"/>
          <w:sz w:val="31"/>
          <w:szCs w:val="31"/>
          <w:highlight w:val="none"/>
        </w:rPr>
        <w:t>三、项目组织实施情况</w:t>
      </w:r>
    </w:p>
    <w:p w14:paraId="4CED1CE1">
      <w:pPr>
        <w:pStyle w:val="6"/>
        <w:keepNext w:val="0"/>
        <w:keepLines w:val="0"/>
        <w:widowControl w:val="0"/>
        <w:suppressLineNumbers w:val="0"/>
        <w:autoSpaceDE w:val="0"/>
        <w:autoSpaceDN/>
        <w:spacing w:line="525" w:lineRule="atLeast"/>
        <w:ind w:left="0" w:firstLine="645"/>
        <w:rPr>
          <w:rFonts w:hint="eastAsia" w:ascii="宋体" w:hAnsi="宋体" w:eastAsia="宋体" w:cs="宋体"/>
          <w:color w:val="auto"/>
          <w:kern w:val="0"/>
          <w:sz w:val="24"/>
          <w:szCs w:val="24"/>
          <w:highlight w:val="none"/>
        </w:rPr>
      </w:pPr>
      <w:r>
        <w:rPr>
          <w:rFonts w:hint="default" w:ascii="仿宋_GB2312" w:hAnsi="宋体" w:eastAsia="仿宋_GB2312" w:cs="仿宋_GB2312"/>
          <w:color w:val="auto"/>
          <w:kern w:val="0"/>
          <w:sz w:val="31"/>
          <w:szCs w:val="31"/>
          <w:highlight w:val="none"/>
        </w:rPr>
        <w:t>（一）项目组织情况（包括项目招投标情况、调整情况、完成验收等）</w:t>
      </w:r>
    </w:p>
    <w:p w14:paraId="66B4E8D1">
      <w:pPr>
        <w:keepNext w:val="0"/>
        <w:keepLines w:val="0"/>
        <w:widowControl w:val="0"/>
        <w:suppressLineNumbers w:val="0"/>
        <w:autoSpaceDE w:val="0"/>
        <w:autoSpaceDN/>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1、项目招投标情况</w:t>
      </w:r>
    </w:p>
    <w:p w14:paraId="43DD04F5">
      <w:pPr>
        <w:keepNext w:val="0"/>
        <w:keepLines w:val="0"/>
        <w:widowControl w:val="0"/>
        <w:suppressLineNumbers w:val="0"/>
        <w:autoSpaceDE w:val="0"/>
        <w:autoSpaceDN/>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美兰二期工程现已完成了</w:t>
      </w:r>
      <w:r>
        <w:rPr>
          <w:rFonts w:hint="eastAsia" w:ascii="仿宋" w:hAnsi="仿宋" w:eastAsia="仿宋" w:cs="仿宋"/>
          <w:color w:val="auto"/>
          <w:kern w:val="0"/>
          <w:sz w:val="32"/>
          <w:szCs w:val="32"/>
          <w:highlight w:val="none"/>
          <w:lang w:val="en-US" w:eastAsia="zh-CN"/>
        </w:rPr>
        <w:t>368</w:t>
      </w:r>
      <w:r>
        <w:rPr>
          <w:rFonts w:hint="eastAsia" w:ascii="仿宋" w:hAnsi="仿宋" w:eastAsia="仿宋" w:cs="仿宋"/>
          <w:color w:val="auto"/>
          <w:kern w:val="0"/>
          <w:sz w:val="32"/>
          <w:szCs w:val="32"/>
          <w:highlight w:val="none"/>
        </w:rPr>
        <w:t>个</w:t>
      </w:r>
      <w:r>
        <w:rPr>
          <w:rFonts w:hint="eastAsia" w:ascii="仿宋" w:hAnsi="仿宋" w:eastAsia="仿宋" w:cs="仿宋"/>
          <w:color w:val="auto"/>
          <w:kern w:val="0"/>
          <w:sz w:val="32"/>
          <w:szCs w:val="32"/>
          <w:highlight w:val="none"/>
        </w:rPr>
        <w:t>合同（其中概算内项目合同共</w:t>
      </w:r>
      <w:r>
        <w:rPr>
          <w:rFonts w:hint="eastAsia" w:ascii="仿宋" w:hAnsi="仿宋" w:eastAsia="仿宋" w:cs="仿宋"/>
          <w:color w:val="auto"/>
          <w:kern w:val="0"/>
          <w:sz w:val="32"/>
          <w:szCs w:val="32"/>
          <w:highlight w:val="none"/>
          <w:lang w:val="en-US" w:eastAsia="zh-CN"/>
        </w:rPr>
        <w:t>307</w:t>
      </w:r>
      <w:r>
        <w:rPr>
          <w:rFonts w:hint="eastAsia" w:ascii="仿宋" w:hAnsi="仿宋" w:eastAsia="仿宋" w:cs="仿宋"/>
          <w:color w:val="auto"/>
          <w:kern w:val="0"/>
          <w:sz w:val="32"/>
          <w:szCs w:val="32"/>
          <w:highlight w:val="none"/>
        </w:rPr>
        <w:t>个</w:t>
      </w:r>
      <w:r>
        <w:rPr>
          <w:rFonts w:hint="eastAsia" w:ascii="仿宋" w:hAnsi="仿宋" w:eastAsia="仿宋" w:cs="仿宋"/>
          <w:color w:val="auto"/>
          <w:kern w:val="0"/>
          <w:sz w:val="32"/>
          <w:szCs w:val="32"/>
          <w:highlight w:val="none"/>
        </w:rPr>
        <w:t>、概算外四个新增项目的合同共</w:t>
      </w:r>
      <w:r>
        <w:rPr>
          <w:rFonts w:hint="eastAsia" w:ascii="仿宋" w:hAnsi="仿宋" w:eastAsia="仿宋" w:cs="仿宋"/>
          <w:color w:val="auto"/>
          <w:kern w:val="0"/>
          <w:sz w:val="32"/>
          <w:szCs w:val="32"/>
          <w:highlight w:val="none"/>
          <w:lang w:val="en-US" w:eastAsia="zh-CN"/>
        </w:rPr>
        <w:t>61</w:t>
      </w:r>
      <w:r>
        <w:rPr>
          <w:rFonts w:hint="eastAsia" w:ascii="仿宋" w:hAnsi="仿宋" w:eastAsia="仿宋" w:cs="仿宋"/>
          <w:color w:val="auto"/>
          <w:kern w:val="0"/>
          <w:sz w:val="32"/>
          <w:szCs w:val="32"/>
          <w:highlight w:val="none"/>
        </w:rPr>
        <w:t>个</w:t>
      </w:r>
      <w:r>
        <w:rPr>
          <w:rFonts w:hint="eastAsia" w:ascii="仿宋" w:hAnsi="仿宋" w:eastAsia="仿宋" w:cs="仿宋"/>
          <w:color w:val="auto"/>
          <w:kern w:val="0"/>
          <w:sz w:val="32"/>
          <w:szCs w:val="32"/>
          <w:highlight w:val="none"/>
        </w:rPr>
        <w:t>）的招标采购相关工作，并签署了合同，其中180个合同实行了公开招标，勘察、设计、施工、监理和重要设备材料采购等均采用公开招标方式，招标组织形式为委托招标。其他合同采用询价、自主采购、单一来源、直接委托方式完成了采购工作。</w:t>
      </w:r>
    </w:p>
    <w:p w14:paraId="52AB0C81">
      <w:pPr>
        <w:keepNext w:val="0"/>
        <w:keepLines w:val="0"/>
        <w:widowControl w:val="0"/>
        <w:suppressLineNumbers w:val="0"/>
        <w:autoSpaceDE w:val="0"/>
        <w:autoSpaceDN/>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2、项目调整情况</w:t>
      </w:r>
    </w:p>
    <w:p w14:paraId="55218008">
      <w:pPr>
        <w:keepNext w:val="0"/>
        <w:keepLines w:val="0"/>
        <w:widowControl w:val="0"/>
        <w:suppressLineNumbers w:val="0"/>
        <w:autoSpaceDE w:val="0"/>
        <w:autoSpaceDN/>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2015年6月国家发改委批准美兰机场二期扩建工程可行性研究报告，批准机场工程项目估算总投资138.38亿元。</w:t>
      </w:r>
    </w:p>
    <w:p w14:paraId="730E02F0">
      <w:pPr>
        <w:keepNext w:val="0"/>
        <w:keepLines w:val="0"/>
        <w:widowControl w:val="0"/>
        <w:suppressLineNumbers w:val="0"/>
        <w:autoSpaceDE w:val="0"/>
        <w:autoSpaceDN/>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2016年10月民航中南地区管理局、海南省发改委联合批复初步设计及概算，批准机场工程项目概算总投资146.59亿元，调整幅度5.93%。</w:t>
      </w:r>
    </w:p>
    <w:p w14:paraId="130FEBC1">
      <w:pPr>
        <w:keepNext w:val="0"/>
        <w:keepLines w:val="0"/>
        <w:widowControl w:val="0"/>
        <w:suppressLineNumbers w:val="0"/>
        <w:autoSpaceDE w:val="0"/>
        <w:autoSpaceDN/>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2018年2月民航中南局批准玉屋溪暗涵排水改道重大设计变更，调整后概算总投资148.2995亿元，与可研估算相比调整幅度7.17%。</w:t>
      </w:r>
    </w:p>
    <w:p w14:paraId="37D525F6">
      <w:pPr>
        <w:keepNext w:val="0"/>
        <w:keepLines w:val="0"/>
        <w:widowControl w:val="0"/>
        <w:numPr>
          <w:ilvl w:val="0"/>
          <w:numId w:val="1"/>
        </w:numPr>
        <w:suppressLineNumbers w:val="0"/>
        <w:autoSpaceDE w:val="0"/>
        <w:autoSpaceDN/>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完成验收情况</w:t>
      </w:r>
    </w:p>
    <w:p w14:paraId="732FC8BB">
      <w:pPr>
        <w:keepNext w:val="0"/>
        <w:keepLines w:val="0"/>
        <w:widowControl w:val="0"/>
        <w:suppressLineNumbers w:val="0"/>
        <w:autoSpaceDE w:val="0"/>
        <w:autoSpaceDN/>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3.1 竣工验收</w:t>
      </w:r>
    </w:p>
    <w:p w14:paraId="544401F9">
      <w:pPr>
        <w:keepNext w:val="0"/>
        <w:keepLines w:val="0"/>
        <w:widowControl w:val="0"/>
        <w:suppressLineNumbers w:val="0"/>
        <w:autoSpaceDE w:val="0"/>
        <w:autoSpaceDN/>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飞行区工程：</w:t>
      </w:r>
    </w:p>
    <w:p w14:paraId="00722CA1">
      <w:pPr>
        <w:keepNext w:val="0"/>
        <w:keepLines w:val="0"/>
        <w:widowControl w:val="0"/>
        <w:suppressLineNumbers w:val="0"/>
        <w:autoSpaceDE w:val="0"/>
        <w:autoSpaceDN/>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2020年4月15日，飞行区完成竣工验收（第一批次）。本次竣工验收范围为场道工程、助航灯光设施及供电工程、附属建筑单体工程、围界监控系统工程等。</w:t>
      </w:r>
    </w:p>
    <w:p w14:paraId="03072AAA">
      <w:pPr>
        <w:keepNext w:val="0"/>
        <w:keepLines w:val="0"/>
        <w:widowControl w:val="0"/>
        <w:suppressLineNumbers w:val="0"/>
        <w:autoSpaceDE w:val="0"/>
        <w:autoSpaceDN/>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2020年7月17日，飞行区完成竣工验收（第二批次）。本次竣工验收范围为场道工程、助航灯光、站坪照明、供电工程、桥载空调等。</w:t>
      </w:r>
    </w:p>
    <w:p w14:paraId="5F94AD82">
      <w:pPr>
        <w:keepNext w:val="0"/>
        <w:keepLines w:val="0"/>
        <w:widowControl w:val="0"/>
        <w:suppressLineNumbers w:val="0"/>
        <w:autoSpaceDE w:val="0"/>
        <w:autoSpaceDN/>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2021年6月17日，飞行区完成竣工验收（第三批次），验收范围包括：货运区安全防范系统，货运区室外围界安防系统，货运区安检设备工程；飞行区目视停放停靠引导系统；飞行区供电工程:现有西灯光站供电系统（高低压柜、变压器及柴发机组）及电力监控系统；飞行区桥载空调（3台）；现有西灯光站扩建工程。</w:t>
      </w:r>
    </w:p>
    <w:p w14:paraId="24E68E4A">
      <w:pPr>
        <w:keepNext w:val="0"/>
        <w:keepLines w:val="0"/>
        <w:widowControl w:val="0"/>
        <w:suppressLineNumbers w:val="0"/>
        <w:autoSpaceDE w:val="0"/>
        <w:autoSpaceDN/>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2021年11月5日，飞行区完成竣工验收（第四批次）。本次竣工验收范围为西垂滑场道工程、助航灯光工程、围界安防工程、消防工程等，以及一个F类登机桥。</w:t>
      </w:r>
    </w:p>
    <w:p w14:paraId="6BBBA121">
      <w:pPr>
        <w:keepNext w:val="0"/>
        <w:keepLines w:val="0"/>
        <w:widowControl w:val="0"/>
        <w:suppressLineNumbers w:val="0"/>
        <w:autoSpaceDE w:val="0"/>
        <w:autoSpaceDN/>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航站区工程：</w:t>
      </w:r>
    </w:p>
    <w:p w14:paraId="274BD9A6">
      <w:pPr>
        <w:keepNext w:val="0"/>
        <w:keepLines w:val="0"/>
        <w:widowControl w:val="0"/>
        <w:suppressLineNumbers w:val="0"/>
        <w:autoSpaceDE w:val="0"/>
        <w:autoSpaceDN/>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2020年8月26日，航站楼完成一标段工程竣工验收。2020年8月26日，航站楼完成二标段工程竣工验收。2020年8月26日，航站楼完成装修竣工验收。</w:t>
      </w:r>
    </w:p>
    <w:p w14:paraId="52C8328C">
      <w:pPr>
        <w:keepNext w:val="0"/>
        <w:keepLines w:val="0"/>
        <w:widowControl w:val="0"/>
        <w:suppressLineNumbers w:val="0"/>
        <w:autoSpaceDE w:val="0"/>
        <w:autoSpaceDN/>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配套工程：</w:t>
      </w:r>
    </w:p>
    <w:p w14:paraId="7DFE0563">
      <w:pPr>
        <w:keepNext w:val="0"/>
        <w:keepLines w:val="0"/>
        <w:widowControl w:val="0"/>
        <w:suppressLineNumbers w:val="0"/>
        <w:autoSpaceDE w:val="0"/>
        <w:autoSpaceDN/>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2020年10月30日，综合交通枢纽二期项目1 标段完成竣工验收。2022年1月17日，工程道路及桥梁工程完成竣工验收。2020年11月17日，停车楼及综合交通（换乘）中心工程完成竣工验收。2021年8月24日，新塔台工程完成竣工验收。</w:t>
      </w:r>
    </w:p>
    <w:p w14:paraId="6C42869E">
      <w:pPr>
        <w:keepNext w:val="0"/>
        <w:keepLines w:val="0"/>
        <w:widowControl w:val="0"/>
        <w:suppressLineNumbers w:val="0"/>
        <w:autoSpaceDE w:val="0"/>
        <w:autoSpaceDN/>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3.2 行业验收</w:t>
      </w:r>
    </w:p>
    <w:p w14:paraId="404A25DB">
      <w:pPr>
        <w:keepNext w:val="0"/>
        <w:keepLines w:val="0"/>
        <w:widowControl w:val="0"/>
        <w:suppressLineNumbers w:val="0"/>
        <w:autoSpaceDE w:val="0"/>
        <w:autoSpaceDN/>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飞行区工程行业验收情况。中国民用航空中南地区管理局于2020年9月7日至9日组织了该项目行业验收，并提出了验收整改要求，机场公司对验收委员会提出的问题进行了整改。</w:t>
      </w:r>
    </w:p>
    <w:p w14:paraId="1037E380">
      <w:pPr>
        <w:keepNext w:val="0"/>
        <w:keepLines w:val="0"/>
        <w:widowControl w:val="0"/>
        <w:suppressLineNumbers w:val="0"/>
        <w:autoSpaceDE w:val="0"/>
        <w:autoSpaceDN/>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航站区工程行业验收情况。中国民用航空中南地区管理局于2020年12月1日至3日组织了美兰二期航站区行业验收，并提出了验收整改要求，机场公司对验收委员会提出的问题进行了整改。</w:t>
      </w:r>
    </w:p>
    <w:p w14:paraId="18BB746B">
      <w:pPr>
        <w:keepNext w:val="0"/>
        <w:keepLines w:val="0"/>
        <w:widowControl w:val="0"/>
        <w:suppressLineNumbers w:val="0"/>
        <w:autoSpaceDE w:val="0"/>
        <w:autoSpaceDN/>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货运区弱电及安检设备等5个工程行业验收情况。中国民用航空中南地区管理局于2021年9月23日组织了美兰二期货运区弱电及安检设备等5个工程行业验收。</w:t>
      </w:r>
    </w:p>
    <w:p w14:paraId="6BF0D1B6">
      <w:pPr>
        <w:keepNext w:val="0"/>
        <w:keepLines w:val="0"/>
        <w:widowControl w:val="0"/>
        <w:suppressLineNumbers w:val="0"/>
        <w:autoSpaceDE w:val="0"/>
        <w:autoSpaceDN/>
        <w:ind w:left="0" w:firstLine="640" w:firstLineChars="200"/>
        <w:rPr>
          <w:rFonts w:hint="default" w:ascii="仿宋_GB2312" w:hAnsi="宋体" w:eastAsia="仿宋_GB2312" w:cs="仿宋_GB2312"/>
          <w:color w:val="auto"/>
          <w:kern w:val="0"/>
          <w:sz w:val="31"/>
          <w:szCs w:val="31"/>
          <w:highlight w:val="none"/>
        </w:rPr>
      </w:pPr>
      <w:r>
        <w:rPr>
          <w:rFonts w:hint="eastAsia" w:ascii="仿宋" w:hAnsi="仿宋" w:eastAsia="仿宋" w:cs="仿宋"/>
          <w:color w:val="auto"/>
          <w:kern w:val="0"/>
          <w:sz w:val="32"/>
          <w:szCs w:val="32"/>
          <w:highlight w:val="none"/>
        </w:rPr>
        <w:t>西垂滑工程和F类登机桥行业验收情况。中国民用航空中南地区管理局于2021年11月22日组织了美兰机场二期飞行区西垂滑工程、F类登机桥和航站楼四层高舱安检及弱电设备行业验收。</w:t>
      </w:r>
    </w:p>
    <w:p w14:paraId="52672728">
      <w:pPr>
        <w:keepNext w:val="0"/>
        <w:keepLines w:val="0"/>
        <w:widowControl/>
        <w:suppressLineNumbers w:val="0"/>
        <w:ind w:left="0" w:firstLine="620" w:firstLineChars="200"/>
        <w:rPr>
          <w:rFonts w:hint="default" w:ascii="仿宋_GB2312" w:hAnsi="宋体" w:eastAsia="仿宋_GB2312" w:cs="仿宋_GB2312"/>
          <w:color w:val="auto"/>
          <w:kern w:val="0"/>
          <w:sz w:val="31"/>
          <w:szCs w:val="31"/>
          <w:highlight w:val="none"/>
        </w:rPr>
      </w:pPr>
      <w:r>
        <w:rPr>
          <w:rFonts w:hint="default" w:ascii="仿宋_GB2312" w:hAnsi="宋体" w:eastAsia="仿宋_GB2312" w:cs="仿宋_GB2312"/>
          <w:color w:val="auto"/>
          <w:kern w:val="0"/>
          <w:sz w:val="31"/>
          <w:szCs w:val="31"/>
          <w:highlight w:val="none"/>
        </w:rPr>
        <w:t>（二）项目管理情况（包括项目管理制度建设、日常检查监督等情况）</w:t>
      </w:r>
    </w:p>
    <w:p w14:paraId="1B9B40A0">
      <w:pPr>
        <w:keepNext w:val="0"/>
        <w:keepLines w:val="0"/>
        <w:widowControl/>
        <w:suppressLineNumbers w:val="0"/>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1、项目管理制度建设</w:t>
      </w:r>
    </w:p>
    <w:p w14:paraId="6C525027">
      <w:pPr>
        <w:keepNext w:val="0"/>
        <w:keepLines w:val="0"/>
        <w:widowControl/>
        <w:suppressLineNumbers w:val="0"/>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美兰二期指挥部成立后，先后下发《美兰机场二期扩建指挥部全员绩效考核办法》《美兰机场二期扩建指挥部建设项目报批报建管理办法》《美兰机场二期扩建指挥部设计管理规定》《美兰机场二期扩建指挥部成本管理办法》《美兰机场二期扩建指挥部重大设计变更管理办法》《美兰机场二期扩建指挥部施工组织设计（施工方案）审查制度》《美兰机场二期扩建指挥部公文格式细则》《美兰机场二期扩建指挥部安全管理手册》等一系列制度，涵盖行政、人事、现场施工与设计等方面，同时根据实际情况实时更新制度，建立完善的工程领域管理制度体系，形成指挥部制度闭环管理。</w:t>
      </w:r>
    </w:p>
    <w:p w14:paraId="00B39E87">
      <w:pPr>
        <w:keepNext w:val="0"/>
        <w:keepLines w:val="0"/>
        <w:widowControl/>
        <w:numPr>
          <w:ilvl w:val="0"/>
          <w:numId w:val="2"/>
        </w:numPr>
        <w:suppressLineNumbers w:val="0"/>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日常检查监督</w:t>
      </w:r>
    </w:p>
    <w:p w14:paraId="3E6F2A5E">
      <w:pPr>
        <w:keepNext w:val="0"/>
        <w:keepLines w:val="0"/>
        <w:widowControl/>
        <w:suppressLineNumbers w:val="0"/>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美兰二期指挥部实行项目负责人管理模式，由项目负责人对工程计划直接负管理责任，督促参建单位落实，另设专人汇总美兰二期工程各子项工程进度计划，编制形成美兰二期总控计划并督办落实，对重要节点性工作、关键线路工作进行重点跟进，形成工单，提前预警项目负责人，确保后续工作衔接有序、总体计划可控。</w:t>
      </w:r>
    </w:p>
    <w:p w14:paraId="04660577">
      <w:pPr>
        <w:keepNext w:val="0"/>
        <w:keepLines w:val="0"/>
        <w:widowControl/>
        <w:suppressLineNumbers w:val="0"/>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修订并下发了《美兰机场二期扩建工程指挥部建设项目监理管理办法》《美兰机场二期扩建指挥部工程质量监督管理制度》《美兰机场二期扩建指挥部建设工程资料检查制度》三项核心制度，明确界定了建设、勘察设计、施工、监理以及检测等各参建单位的质量责任与义务，构建起“指挥部——工程部”两级管理模式。由质量安全部承担指挥部质量监督职能。</w:t>
      </w:r>
    </w:p>
    <w:p w14:paraId="50552299">
      <w:pPr>
        <w:keepNext w:val="0"/>
        <w:keepLines w:val="0"/>
        <w:widowControl/>
        <w:suppressLineNumbers w:val="0"/>
        <w:ind w:left="0" w:firstLine="640" w:firstLineChars="200"/>
        <w:rPr>
          <w:rFonts w:hint="eastAsia" w:ascii="宋体" w:hAnsi="宋体" w:eastAsia="宋体" w:cs="宋体"/>
          <w:color w:val="auto"/>
          <w:kern w:val="0"/>
          <w:sz w:val="24"/>
          <w:szCs w:val="24"/>
          <w:highlight w:val="none"/>
        </w:rPr>
      </w:pPr>
      <w:r>
        <w:rPr>
          <w:rFonts w:hint="eastAsia" w:ascii="仿宋" w:hAnsi="仿宋" w:eastAsia="仿宋" w:cs="仿宋"/>
          <w:color w:val="auto"/>
          <w:kern w:val="0"/>
          <w:sz w:val="32"/>
          <w:szCs w:val="32"/>
          <w:highlight w:val="none"/>
        </w:rPr>
        <w:t>以日常检查为基础，全面覆盖施工现场并重点监督重要施工节点与关键工序；借助双重检查模式，精准定位质量问题，及时发现并解决隐患；通过季度、年度质量工作会议，对项目过程中出现的管理行为不规范、重点质量隐患问题进行通报；定期开展行业及局方制度宣贯、技术培训等活动，提升参建人员专业素养与质量意识；严格监督整改机制，发现问题即下达整改单并限期整改，监理与建设单位联合监督，形成闭环管理，保障工程质量可控。</w:t>
      </w:r>
    </w:p>
    <w:p w14:paraId="53D3DDDD">
      <w:pPr>
        <w:pStyle w:val="6"/>
        <w:keepNext w:val="0"/>
        <w:keepLines w:val="0"/>
        <w:widowControl w:val="0"/>
        <w:suppressLineNumbers w:val="0"/>
        <w:autoSpaceDE w:val="0"/>
        <w:autoSpaceDN/>
        <w:spacing w:line="525" w:lineRule="atLeast"/>
        <w:ind w:left="0" w:firstLine="645"/>
        <w:rPr>
          <w:rFonts w:hint="eastAsia" w:ascii="宋体" w:hAnsi="宋体" w:eastAsia="宋体" w:cs="宋体"/>
          <w:color w:val="auto"/>
          <w:kern w:val="0"/>
          <w:sz w:val="24"/>
          <w:szCs w:val="24"/>
          <w:highlight w:val="none"/>
        </w:rPr>
      </w:pPr>
      <w:r>
        <w:rPr>
          <w:rFonts w:hint="eastAsia" w:ascii="黑体" w:hAnsi="宋体" w:eastAsia="黑体" w:cs="黑体"/>
          <w:color w:val="auto"/>
          <w:kern w:val="0"/>
          <w:sz w:val="31"/>
          <w:szCs w:val="31"/>
          <w:highlight w:val="none"/>
        </w:rPr>
        <w:t>四、项目绩效情况</w:t>
      </w:r>
    </w:p>
    <w:p w14:paraId="22442BDB">
      <w:pPr>
        <w:pStyle w:val="6"/>
        <w:keepNext w:val="0"/>
        <w:keepLines w:val="0"/>
        <w:widowControl w:val="0"/>
        <w:suppressLineNumbers w:val="0"/>
        <w:autoSpaceDE w:val="0"/>
        <w:autoSpaceDN/>
        <w:spacing w:line="525" w:lineRule="atLeast"/>
        <w:ind w:left="0" w:firstLine="645"/>
        <w:rPr>
          <w:rFonts w:hint="eastAsia" w:ascii="宋体" w:hAnsi="宋体" w:eastAsia="宋体" w:cs="宋体"/>
          <w:color w:val="auto"/>
          <w:kern w:val="0"/>
          <w:sz w:val="24"/>
          <w:szCs w:val="24"/>
          <w:highlight w:val="none"/>
        </w:rPr>
      </w:pPr>
      <w:r>
        <w:rPr>
          <w:rFonts w:hint="default" w:ascii="仿宋_GB2312" w:hAnsi="宋体" w:eastAsia="仿宋_GB2312" w:cs="仿宋_GB2312"/>
          <w:color w:val="auto"/>
          <w:kern w:val="0"/>
          <w:sz w:val="31"/>
          <w:szCs w:val="31"/>
          <w:highlight w:val="none"/>
        </w:rPr>
        <w:t>（一）项目绩效目标完成情况。将项目实际完成情况与申报的绩效目标对比，从项目的经济性、效率性、有效性和可持续性等方面对项目绩效进行量化、具体分析。</w:t>
      </w:r>
    </w:p>
    <w:p w14:paraId="7457568B">
      <w:pPr>
        <w:pStyle w:val="6"/>
        <w:keepNext w:val="0"/>
        <w:keepLines w:val="0"/>
        <w:widowControl w:val="0"/>
        <w:suppressLineNumbers w:val="0"/>
        <w:autoSpaceDE w:val="0"/>
        <w:autoSpaceDN/>
        <w:spacing w:line="525" w:lineRule="atLeast"/>
        <w:ind w:left="0" w:firstLine="645"/>
        <w:rPr>
          <w:rFonts w:hint="eastAsia" w:ascii="宋体" w:hAnsi="宋体" w:eastAsia="宋体" w:cs="宋体"/>
          <w:color w:val="auto"/>
          <w:kern w:val="0"/>
          <w:sz w:val="24"/>
          <w:szCs w:val="24"/>
          <w:highlight w:val="none"/>
        </w:rPr>
      </w:pPr>
      <w:r>
        <w:rPr>
          <w:rFonts w:hint="default" w:ascii="仿宋_GB2312" w:hAnsi="宋体" w:eastAsia="仿宋_GB2312" w:cs="仿宋_GB2312"/>
          <w:color w:val="auto"/>
          <w:kern w:val="0"/>
          <w:sz w:val="31"/>
          <w:szCs w:val="31"/>
          <w:highlight w:val="none"/>
        </w:rPr>
        <w:t>其中：项目的经济性分析主要是对项目成本（预算）控制、节约等情况进行分析，项目的效率性分析主要是对项目实施（完成）的进度及质量等情况进行分析；项目的有效性分析主要是对反映项目资金使用效果的个性指标进行分析；项目的可持续性分析主要是对项目完成后，后续政策、资金、人员机构安排和管理措施等影响项目持续发展的因素进行分析。</w:t>
      </w:r>
    </w:p>
    <w:p w14:paraId="0585B5C9">
      <w:pPr>
        <w:keepNext w:val="0"/>
        <w:keepLines w:val="0"/>
        <w:widowControl/>
        <w:suppressLineNumbers w:val="0"/>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1、项目的经济性分析</w:t>
      </w:r>
    </w:p>
    <w:p w14:paraId="451B8738">
      <w:pPr>
        <w:keepNext w:val="0"/>
        <w:keepLines w:val="0"/>
        <w:widowControl/>
        <w:suppressLineNumbers w:val="0"/>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1.1项目成本（预算）控制情况</w:t>
      </w:r>
    </w:p>
    <w:p w14:paraId="5CECF9D9">
      <w:pPr>
        <w:keepNext w:val="0"/>
        <w:keepLines w:val="0"/>
        <w:widowControl/>
        <w:suppressLineNumbers w:val="0"/>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美兰二期国家批</w:t>
      </w:r>
      <w:bookmarkStart w:id="1" w:name="_GoBack"/>
      <w:bookmarkEnd w:id="1"/>
      <w:r>
        <w:rPr>
          <w:rFonts w:hint="eastAsia" w:ascii="仿宋" w:hAnsi="仿宋" w:eastAsia="仿宋" w:cs="仿宋"/>
          <w:color w:val="auto"/>
          <w:kern w:val="0"/>
          <w:sz w:val="32"/>
          <w:szCs w:val="32"/>
          <w:highlight w:val="none"/>
        </w:rPr>
        <w:t>复初设概算总投资148.29亿元，其中工程直接费101.43亿元，工程其他费用33.28亿元，预备费5.528亿元，建设期贷款利息8.06亿元。</w:t>
      </w:r>
      <w:r>
        <w:rPr>
          <w:rFonts w:hint="eastAsia" w:ascii="仿宋" w:hAnsi="仿宋" w:eastAsia="仿宋" w:cs="仿宋"/>
          <w:color w:val="auto"/>
          <w:kern w:val="0"/>
          <w:sz w:val="32"/>
          <w:szCs w:val="32"/>
          <w:highlight w:val="none"/>
        </w:rPr>
        <w:t>目前动态预测整体成本135.26亿元，控制在国家批准概算总投资范围内。</w:t>
      </w:r>
      <w:r>
        <w:rPr>
          <w:rFonts w:hint="eastAsia" w:ascii="仿宋" w:hAnsi="仿宋" w:eastAsia="仿宋" w:cs="仿宋"/>
          <w:color w:val="auto"/>
          <w:kern w:val="0"/>
          <w:sz w:val="32"/>
          <w:szCs w:val="32"/>
          <w:highlight w:val="none"/>
        </w:rPr>
        <w:t>1.2项目成本（预算）节约情况</w:t>
      </w:r>
    </w:p>
    <w:p w14:paraId="51AE0423">
      <w:pPr>
        <w:keepNext w:val="0"/>
        <w:keepLines w:val="0"/>
        <w:widowControl/>
        <w:suppressLineNumbers w:val="0"/>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项目总投资成本节约率约0.09%。</w:t>
      </w:r>
    </w:p>
    <w:p w14:paraId="4B5CA4A0">
      <w:pPr>
        <w:keepNext w:val="0"/>
        <w:keepLines w:val="0"/>
        <w:widowControl/>
        <w:suppressLineNumbers w:val="0"/>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2. 项目的效率性分析</w:t>
      </w:r>
    </w:p>
    <w:p w14:paraId="2F471DA3">
      <w:pPr>
        <w:keepNext w:val="0"/>
        <w:keepLines w:val="0"/>
        <w:widowControl/>
        <w:suppressLineNumbers w:val="0"/>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2.1项目的实施进度</w:t>
      </w:r>
    </w:p>
    <w:p w14:paraId="4871713A">
      <w:pPr>
        <w:keepNext w:val="0"/>
        <w:keepLines w:val="0"/>
        <w:widowControl/>
        <w:suppressLineNumbers w:val="0"/>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飞行区工程、航站区工程、配套区工程、新塔台、综合交通（换乘）中心二期、新增涉铁工程、综合交通枢纽二期工程全部通过竣工验收和行业验收，2021年12月份投入运营。其中，缓建项目特种车库于2024年12月20日竣工验收，物资仓库于2025年10月21日竣工验收，机场办公用房、职工食堂、还建海航酒店、安检业务用房、单身宿舍、航空食品及机供品工程剩余6个缓建项目推进前期工作。</w:t>
      </w:r>
    </w:p>
    <w:p w14:paraId="55A49651">
      <w:pPr>
        <w:keepNext w:val="0"/>
        <w:keepLines w:val="0"/>
        <w:widowControl/>
        <w:suppressLineNumbers w:val="0"/>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2.2项目完成质量</w:t>
      </w:r>
    </w:p>
    <w:p w14:paraId="13CE8F43">
      <w:pPr>
        <w:keepNext w:val="0"/>
        <w:keepLines w:val="0"/>
        <w:widowControl/>
        <w:suppressLineNumbers w:val="0"/>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已完工项目顺利通过竣工验收和行业验收。</w:t>
      </w:r>
    </w:p>
    <w:p w14:paraId="742C041C">
      <w:pPr>
        <w:keepNext w:val="0"/>
        <w:keepLines w:val="0"/>
        <w:widowControl/>
        <w:suppressLineNumbers w:val="0"/>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3. 项目的效益性分析</w:t>
      </w:r>
    </w:p>
    <w:p w14:paraId="19110D95">
      <w:pPr>
        <w:keepNext w:val="0"/>
        <w:keepLines w:val="0"/>
        <w:widowControl/>
        <w:suppressLineNumbers w:val="0"/>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3.1项目预期目标完成程度</w:t>
      </w:r>
    </w:p>
    <w:p w14:paraId="6EE1013B">
      <w:pPr>
        <w:keepNext w:val="0"/>
        <w:keepLines w:val="0"/>
        <w:widowControl/>
        <w:suppressLineNumbers w:val="0"/>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项目预期目标完成100%。</w:t>
      </w:r>
    </w:p>
    <w:p w14:paraId="7F44C880">
      <w:pPr>
        <w:keepNext w:val="0"/>
        <w:keepLines w:val="0"/>
        <w:widowControl/>
        <w:suppressLineNumbers w:val="0"/>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3.2项目实施对经济和社会的影响</w:t>
      </w:r>
    </w:p>
    <w:p w14:paraId="56CCF321">
      <w:pPr>
        <w:keepNext w:val="0"/>
        <w:keepLines w:val="0"/>
        <w:widowControl/>
        <w:suppressLineNumbers w:val="0"/>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项目建设目标为2025年满足年旅客吞吐量3500万人次、年货邮吞吐量40万吨，满足机场航空业务量快速增长的需要，二期完全投产后，可研报告预测本项目所得税前财务内部收益率为5.9%；带动和促进区域经济发展；促进海南自贸岛和国际旅游岛的建设发展；构建海南综合交通运输体系；全面提升海口美兰国际机场航班保障能力和旅客候机环境，增加国内外航班数量，全面提升服务对象和社会公众满意度。打造海南自贸岛高水平对外开放窗口。</w:t>
      </w:r>
    </w:p>
    <w:p w14:paraId="2BCB5430">
      <w:pPr>
        <w:keepNext w:val="0"/>
        <w:keepLines w:val="0"/>
        <w:widowControl/>
        <w:suppressLineNumbers w:val="0"/>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4.项目的可持续性分析</w:t>
      </w:r>
    </w:p>
    <w:p w14:paraId="602EFC8B">
      <w:pPr>
        <w:keepNext w:val="0"/>
        <w:keepLines w:val="0"/>
        <w:widowControl/>
        <w:suppressLineNumbers w:val="0"/>
        <w:ind w:left="0" w:firstLine="640" w:firstLineChars="200"/>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海口美兰国际机场二期扩建指挥部人员编制隶属于海口美兰国际机场有限责任公司，目前划分为综合管理部、计划财务部、成本采购部、总工办、飞行区工程部、航站楼管理部、配套工程部及信息化小组，人员组成包括二期工程建设专职人员以及美兰机场一期部分借调人员。</w:t>
      </w:r>
    </w:p>
    <w:p w14:paraId="257A673E">
      <w:pPr>
        <w:pStyle w:val="6"/>
        <w:keepNext w:val="0"/>
        <w:keepLines w:val="0"/>
        <w:widowControl w:val="0"/>
        <w:suppressLineNumbers w:val="0"/>
        <w:autoSpaceDE w:val="0"/>
        <w:autoSpaceDN/>
        <w:spacing w:line="525" w:lineRule="atLeast"/>
        <w:ind w:left="0" w:firstLine="645"/>
        <w:rPr>
          <w:rFonts w:hint="default" w:ascii="仿宋_GB2312" w:hAnsi="宋体" w:eastAsia="仿宋_GB2312" w:cs="仿宋_GB2312"/>
          <w:color w:val="auto"/>
          <w:kern w:val="0"/>
          <w:sz w:val="31"/>
          <w:szCs w:val="31"/>
          <w:highlight w:val="none"/>
        </w:rPr>
      </w:pPr>
      <w:r>
        <w:rPr>
          <w:rFonts w:hint="eastAsia" w:ascii="仿宋" w:hAnsi="仿宋" w:eastAsia="仿宋" w:cs="仿宋"/>
          <w:color w:val="auto"/>
          <w:kern w:val="0"/>
          <w:sz w:val="32"/>
          <w:szCs w:val="32"/>
          <w:highlight w:val="none"/>
        </w:rPr>
        <w:t>项目完成后，保留相关职能部门部分人员，保持相关政策不变，完成工程结算、决算以及工程档案归档工作，筹集资金，完成工程结算款支付工作。项目通过竣工验收和行业验收后，相关资产以及人员，统一由海口美兰国际机场管理，负责项目维护保养以及投产运营，确保投资收益最大化，为海南自贸港发展做贡献。</w:t>
      </w:r>
    </w:p>
    <w:p w14:paraId="7BC072B0">
      <w:pPr>
        <w:pStyle w:val="6"/>
        <w:keepNext w:val="0"/>
        <w:keepLines w:val="0"/>
        <w:widowControl w:val="0"/>
        <w:suppressLineNumbers w:val="0"/>
        <w:autoSpaceDE w:val="0"/>
        <w:autoSpaceDN/>
        <w:spacing w:line="525" w:lineRule="atLeast"/>
        <w:ind w:left="0" w:firstLine="645"/>
        <w:rPr>
          <w:rFonts w:hint="default" w:ascii="仿宋_GB2312" w:hAnsi="宋体" w:eastAsia="仿宋_GB2312" w:cs="仿宋_GB2312"/>
          <w:color w:val="auto"/>
          <w:kern w:val="0"/>
          <w:sz w:val="31"/>
          <w:szCs w:val="31"/>
          <w:highlight w:val="none"/>
        </w:rPr>
      </w:pPr>
      <w:r>
        <w:rPr>
          <w:rFonts w:hint="default" w:ascii="仿宋_GB2312" w:hAnsi="宋体" w:eastAsia="仿宋_GB2312" w:cs="仿宋_GB2312"/>
          <w:color w:val="auto"/>
          <w:kern w:val="0"/>
          <w:sz w:val="31"/>
          <w:szCs w:val="31"/>
          <w:highlight w:val="none"/>
        </w:rPr>
        <w:t xml:space="preserve"> </w:t>
      </w:r>
    </w:p>
    <w:p w14:paraId="43A43156">
      <w:pPr>
        <w:pStyle w:val="6"/>
        <w:keepNext w:val="0"/>
        <w:keepLines w:val="0"/>
        <w:widowControl w:val="0"/>
        <w:suppressLineNumbers w:val="0"/>
        <w:autoSpaceDE w:val="0"/>
        <w:autoSpaceDN/>
        <w:spacing w:line="525" w:lineRule="atLeast"/>
        <w:ind w:left="0" w:firstLine="645"/>
        <w:rPr>
          <w:rFonts w:hint="default" w:ascii="仿宋_GB2312" w:hAnsi="宋体" w:eastAsia="仿宋_GB2312" w:cs="仿宋_GB2312"/>
          <w:color w:val="auto"/>
          <w:kern w:val="0"/>
          <w:sz w:val="31"/>
          <w:szCs w:val="31"/>
          <w:highlight w:val="none"/>
        </w:rPr>
      </w:pPr>
      <w:r>
        <w:rPr>
          <w:rFonts w:hint="default" w:ascii="仿宋_GB2312" w:hAnsi="宋体" w:eastAsia="仿宋_GB2312" w:cs="仿宋_GB2312"/>
          <w:color w:val="auto"/>
          <w:kern w:val="0"/>
          <w:sz w:val="31"/>
          <w:szCs w:val="31"/>
          <w:highlight w:val="none"/>
        </w:rPr>
        <w:t>（二）项目绩效目标未完成情况及原因分析</w:t>
      </w:r>
    </w:p>
    <w:p w14:paraId="678098CA">
      <w:pPr>
        <w:pStyle w:val="6"/>
        <w:keepNext w:val="0"/>
        <w:keepLines w:val="0"/>
        <w:widowControl w:val="0"/>
        <w:suppressLineNumbers w:val="0"/>
        <w:autoSpaceDE w:val="0"/>
        <w:autoSpaceDN/>
        <w:spacing w:line="525" w:lineRule="atLeast"/>
        <w:ind w:left="0" w:firstLine="645"/>
        <w:rPr>
          <w:rFonts w:hint="eastAsia" w:ascii="宋体" w:hAnsi="宋体" w:eastAsia="仿宋_GB2312" w:cs="宋体"/>
          <w:color w:val="auto"/>
          <w:kern w:val="0"/>
          <w:sz w:val="24"/>
          <w:szCs w:val="24"/>
          <w:highlight w:val="none"/>
        </w:rPr>
      </w:pPr>
      <w:r>
        <w:rPr>
          <w:rFonts w:hint="default" w:ascii="仿宋_GB2312" w:hAnsi="宋体" w:eastAsia="仿宋_GB2312" w:cs="仿宋_GB2312"/>
          <w:color w:val="auto"/>
          <w:kern w:val="0"/>
          <w:sz w:val="31"/>
          <w:szCs w:val="31"/>
          <w:highlight w:val="none"/>
        </w:rPr>
        <w:t>无</w:t>
      </w:r>
    </w:p>
    <w:p w14:paraId="691C18F0">
      <w:pPr>
        <w:pStyle w:val="6"/>
        <w:keepNext w:val="0"/>
        <w:keepLines w:val="0"/>
        <w:widowControl w:val="0"/>
        <w:suppressLineNumbers w:val="0"/>
        <w:autoSpaceDE w:val="0"/>
        <w:autoSpaceDN/>
        <w:spacing w:line="525" w:lineRule="atLeast"/>
        <w:ind w:left="0" w:firstLine="645"/>
        <w:rPr>
          <w:rFonts w:hint="eastAsia" w:ascii="宋体" w:hAnsi="宋体" w:eastAsia="宋体" w:cs="宋体"/>
          <w:color w:val="auto"/>
          <w:kern w:val="0"/>
          <w:sz w:val="24"/>
          <w:szCs w:val="24"/>
          <w:highlight w:val="none"/>
        </w:rPr>
      </w:pPr>
      <w:r>
        <w:rPr>
          <w:rFonts w:hint="eastAsia" w:ascii="黑体" w:hAnsi="宋体" w:eastAsia="黑体" w:cs="黑体"/>
          <w:color w:val="auto"/>
          <w:kern w:val="0"/>
          <w:sz w:val="31"/>
          <w:szCs w:val="31"/>
          <w:highlight w:val="none"/>
        </w:rPr>
        <w:t>五、其他需要说明的问题</w:t>
      </w:r>
    </w:p>
    <w:p w14:paraId="7630DD2D">
      <w:pPr>
        <w:pStyle w:val="6"/>
        <w:keepNext w:val="0"/>
        <w:keepLines w:val="0"/>
        <w:widowControl w:val="0"/>
        <w:suppressLineNumbers w:val="0"/>
        <w:autoSpaceDE w:val="0"/>
        <w:autoSpaceDN/>
        <w:spacing w:line="525" w:lineRule="atLeast"/>
        <w:ind w:left="0" w:firstLine="645"/>
        <w:rPr>
          <w:rFonts w:hint="eastAsia" w:ascii="宋体" w:hAnsi="宋体" w:eastAsia="宋体" w:cs="宋体"/>
          <w:color w:val="auto"/>
          <w:kern w:val="0"/>
          <w:sz w:val="24"/>
          <w:szCs w:val="24"/>
          <w:highlight w:val="none"/>
        </w:rPr>
      </w:pPr>
      <w:r>
        <w:rPr>
          <w:rFonts w:hint="default" w:ascii="仿宋_GB2312" w:hAnsi="宋体" w:eastAsia="仿宋_GB2312" w:cs="仿宋_GB2312"/>
          <w:color w:val="auto"/>
          <w:kern w:val="0"/>
          <w:sz w:val="31"/>
          <w:szCs w:val="31"/>
          <w:highlight w:val="none"/>
        </w:rPr>
        <w:t>（一）后续工作计划</w:t>
      </w:r>
    </w:p>
    <w:p w14:paraId="5FAC00FC">
      <w:pPr>
        <w:pStyle w:val="6"/>
        <w:keepNext w:val="0"/>
        <w:keepLines w:val="0"/>
        <w:widowControl w:val="0"/>
        <w:suppressLineNumbers w:val="0"/>
        <w:autoSpaceDE w:val="0"/>
        <w:autoSpaceDN/>
        <w:spacing w:line="525" w:lineRule="atLeast"/>
        <w:ind w:left="0" w:firstLine="645"/>
        <w:rPr>
          <w:rFonts w:hint="eastAsia" w:ascii="宋体" w:hAnsi="宋体" w:eastAsia="宋体" w:cs="宋体"/>
          <w:color w:val="auto"/>
          <w:kern w:val="0"/>
          <w:sz w:val="24"/>
          <w:szCs w:val="24"/>
          <w:highlight w:val="none"/>
        </w:rPr>
      </w:pPr>
      <w:r>
        <w:rPr>
          <w:rFonts w:hint="default" w:ascii="仿宋_GB2312" w:hAnsi="宋体" w:eastAsia="仿宋_GB2312" w:cs="仿宋_GB2312"/>
          <w:color w:val="auto"/>
          <w:kern w:val="0"/>
          <w:sz w:val="31"/>
          <w:szCs w:val="31"/>
          <w:highlight w:val="none"/>
        </w:rPr>
        <w:t>（二）主要经验及做法、存在问题和建议</w:t>
      </w:r>
    </w:p>
    <w:p w14:paraId="4A0F448F">
      <w:pPr>
        <w:pStyle w:val="6"/>
        <w:keepNext w:val="0"/>
        <w:keepLines w:val="0"/>
        <w:widowControl w:val="0"/>
        <w:suppressLineNumbers w:val="0"/>
        <w:autoSpaceDE w:val="0"/>
        <w:autoSpaceDN/>
        <w:spacing w:line="525" w:lineRule="atLeast"/>
        <w:ind w:left="0" w:firstLine="645"/>
        <w:rPr>
          <w:rFonts w:hint="eastAsia" w:ascii="宋体" w:hAnsi="宋体" w:eastAsia="宋体" w:cs="宋体"/>
          <w:color w:val="auto"/>
          <w:kern w:val="0"/>
          <w:sz w:val="24"/>
          <w:szCs w:val="24"/>
          <w:highlight w:val="none"/>
        </w:rPr>
      </w:pPr>
      <w:r>
        <w:rPr>
          <w:rFonts w:hint="default" w:ascii="仿宋_GB2312" w:hAnsi="宋体" w:eastAsia="仿宋_GB2312" w:cs="仿宋_GB2312"/>
          <w:color w:val="auto"/>
          <w:kern w:val="0"/>
          <w:sz w:val="31"/>
          <w:szCs w:val="31"/>
          <w:highlight w:val="none"/>
        </w:rPr>
        <w:t>（包括资金安排、使用过程中的经验、做法、存在问题、改进措施和有关建议等）</w:t>
      </w:r>
    </w:p>
    <w:p w14:paraId="592FB141">
      <w:pPr>
        <w:pStyle w:val="6"/>
        <w:keepNext w:val="0"/>
        <w:keepLines w:val="0"/>
        <w:widowControl w:val="0"/>
        <w:suppressLineNumbers w:val="0"/>
        <w:autoSpaceDE w:val="0"/>
        <w:autoSpaceDN/>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p>
    <w:p w14:paraId="53AD8B71">
      <w:pPr>
        <w:rPr>
          <w:color w:val="auto"/>
          <w:highlight w:val="none"/>
        </w:rPr>
      </w:pPr>
    </w:p>
    <w:sectPr>
      <w:pgSz w:w="11906" w:h="16839"/>
      <w:pgMar w:top="1440" w:right="1800" w:bottom="1440" w:left="1800"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6D045D"/>
    <w:multiLevelType w:val="multilevel"/>
    <w:tmpl w:val="A76D045D"/>
    <w:lvl w:ilvl="0" w:tentative="0">
      <w:start w:val="3"/>
      <w:numFmt w:val="decimal"/>
      <w:suff w:val="nothing"/>
      <w:lvlText w:val="%1、"/>
      <w:lvlJc w:val="left"/>
      <w:pPr>
        <w:tabs>
          <w:tab w:val="left" w:pos="0"/>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
    <w:nsid w:val="B8A2A240"/>
    <w:multiLevelType w:val="multilevel"/>
    <w:tmpl w:val="B8A2A240"/>
    <w:lvl w:ilvl="0" w:tentative="0">
      <w:start w:val="2"/>
      <w:numFmt w:val="decimal"/>
      <w:suff w:val="nothing"/>
      <w:lvlText w:val="%1、"/>
      <w:lvlJc w:val="left"/>
      <w:pPr>
        <w:tabs>
          <w:tab w:val="left" w:pos="0"/>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57C4A"/>
    <w:rsid w:val="12FA11B0"/>
    <w:rsid w:val="133B508E"/>
    <w:rsid w:val="162E3271"/>
    <w:rsid w:val="16CD78F7"/>
    <w:rsid w:val="208C6FF3"/>
    <w:rsid w:val="25510545"/>
    <w:rsid w:val="27A13AB9"/>
    <w:rsid w:val="287732F1"/>
    <w:rsid w:val="294D204F"/>
    <w:rsid w:val="369C290D"/>
    <w:rsid w:val="3C25252F"/>
    <w:rsid w:val="44066626"/>
    <w:rsid w:val="46A6063F"/>
    <w:rsid w:val="5F757C4A"/>
    <w:rsid w:val="67857B63"/>
    <w:rsid w:val="74B1449B"/>
    <w:rsid w:val="75E02E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99"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unhideWhenUsed/>
    <w:qFormat/>
    <w:uiPriority w:val="99"/>
    <w:pP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character" w:styleId="5">
    <w:name w:val="Hyperlink"/>
    <w:basedOn w:val="4"/>
    <w:qFormat/>
    <w:uiPriority w:val="0"/>
    <w:rPr>
      <w:color w:val="0000FF"/>
      <w:u w:val="single"/>
    </w:rPr>
  </w:style>
  <w:style w:type="paragraph" w:customStyle="1" w:styleId="6">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7">
    <w:name w:val="16"/>
    <w:basedOn w:val="4"/>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6016</Words>
  <Characters>6483</Characters>
  <Lines>0</Lines>
  <Paragraphs>0</Paragraphs>
  <TotalTime>3</TotalTime>
  <ScaleCrop>false</ScaleCrop>
  <LinksUpToDate>false</LinksUpToDate>
  <CharactersWithSpaces>6508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2026-03-20T02:12:00Z</dcterms:created>
  <dc:creator>美兰机场资金管理中心</dc:creator>
  <cp:lastModifiedBy>hnhold</cp:lastModifiedBy>
  <dcterms:modified xsi:type="dcterms:W3CDTF">2026-04-02T03:42:58Z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F3F2BFC9E37942CDB433DEC7A5C19979_13</vt:lpwstr>
  </property>
  <property fmtid="{D5CDD505-2E9C-101B-9397-08002B2CF9AE}" pid="4" name="KSOTemplateDocerSaveRecord">
    <vt:lpwstr>eyJoZGlkIjoiYTFmMDY1ZTFhZTI0YmYyNTQ4NmJlM2U3ZmQzNGI4NGEifQ==</vt:lpwstr>
  </property>
</Properties>
</file>